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svg" ContentType="image/svg+xml"/>
  <Override PartName="/word/media/rId110.svg" ContentType="image/svg+xml"/>
  <Override PartName="/word/media/rId114.svg" ContentType="image/svg+xml"/>
  <Override PartName="/word/media/rId106.svg" ContentType="image/svg+xml"/>
  <Override PartName="/word/media/rId119.svg" ContentType="image/svg+xml"/>
  <Override PartName="/word/media/rId132.svg" ContentType="image/svg+xml"/>
  <Override PartName="/word/media/rId123.svg" ContentType="image/svg+xml"/>
  <Override PartName="/word/media/rId58.png" ContentType="image/png"/>
  <Override PartName="/word/media/rId68.png" ContentType="image/png"/>
  <Override PartName="/word/media/rId49.png" ContentType="image/png"/>
  <Override PartName="/word/media/rId239.png" ContentType="image/png"/>
  <Override PartName="/word/media/rId229.png" ContentType="image/png"/>
  <Override PartName="/word/media/rId251.png" ContentType="image/png"/>
  <Override PartName="/word/media/rId255.png" ContentType="image/png"/>
  <Override PartName="/word/media/rId211.gif" ContentType="image/gif"/>
  <Override PartName="/word/media/rId215.gif" ContentType="image/gif"/>
  <Override PartName="/word/media/rId220.png" ContentType="image/png"/>
  <Override PartName="/word/media/rId102.png" ContentType="image/png"/>
  <Override PartName="/word/media/rId137.png" ContentType="image/png"/>
  <Override PartName="/word/media/rId150.png" ContentType="image/png"/>
  <Override PartName="/word/media/rId97.png" ContentType="image/png"/>
  <Override PartName="/word/media/rId178.png" ContentType="image/png"/>
  <Override PartName="/word/media/rId159.png" ContentType="image/png"/>
  <Override PartName="/word/media/rId155.png" ContentType="image/png"/>
  <Override PartName="/word/media/rId171.png" ContentType="image/png"/>
  <Override PartName="/word/media/rId146.png" ContentType="image/png"/>
  <Override PartName="/word/media/rId185.png" ContentType="image/png"/>
  <Override PartName="/word/media/rId141.png" ContentType="image/png"/>
  <Override PartName="/word/media/rId167.png" ContentType="image/png"/>
  <Override PartName="/word/media/rId202.png" ContentType="image/png"/>
  <Override PartName="/word/media/rId206.png" ContentType="image/png"/>
  <Override PartName="/word/media/rId233.png" ContentType="image/png"/>
  <Override PartName="/word/media/rId329.png" ContentType="image/png"/>
  <Override PartName="/word/media/rId321.png" ContentType="image/png"/>
  <Override PartName="/word/media/rId343.png" ContentType="image/png"/>
  <Override PartName="/word/media/rId334.png" ContentType="image/png"/>
  <Override PartName="/word/media/rId337.png" ContentType="image/png"/>
  <Override PartName="/word/media/rId20.jpg" ContentType="image/jpeg"/>
  <Override PartName="/word/media/rId28.png" ContentType="image/png"/>
  <Override PartName="/word/media/rId32.png" ContentType="image/png"/>
  <Override PartName="/word/media/rId82.jpg" ContentType="image/jpeg"/>
  <Override PartName="/word/media/rId42.svg" ContentType="image/svg+xml"/>
  <Override PartName="/word/media/rId299.png" ContentType="image/png"/>
  <Override PartName="/word/media/rId304.png" ContentType="image/png"/>
  <Override PartName="/word/media/rId266.gif" ContentType="image/gif"/>
  <Override PartName="/word/media/rId270.png" ContentType="image/png"/>
  <Override PartName="/word/media/rId292.png" ContentType="image/png"/>
  <Override PartName="/word/media/rId285.png" ContentType="image/png"/>
  <Override PartName="/word/media/rId3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2025-04-23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 - 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US import tariffs are raised?</w:t>
                  </w:r>
                </w:p>
              </w:tc>
              <w:tc>
                <w:tcPr/>
                <w:p>
                  <w:pPr>
                    <w:pStyle w:val="Compact"/>
                    <w:jc w:val="center"/>
                  </w:pPr>
                  <w:r>
                    <w:t xml:space="preserve">How much effort to allocate to contingency planning?</w:t>
                  </w:r>
                </w:p>
              </w:tc>
            </w:tr>
            <w:tr>
              <w:tc>
                <w:tcPr/>
                <w:p>
                  <w:pPr>
                    <w:pStyle w:val="Compact"/>
                    <w:jc w:val="center"/>
                  </w:pPr>
                  <w:r>
                    <w:t xml:space="preserve">What are reasonable drivers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7"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5"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 - 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sec-identify"/>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Or in Controlling terms: compare the actual performance to the performance standards.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 Ask questions, questions, questions. Every conversion you will have with relevant people will give you some answers, but also trigger new questions. Talking to people is important because you cannot be the expert in every domain, so you build your analysis on their expert knowledge.</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 Are you renewing your service package with us?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(there is a well-documented gap between hypothetical intentions (</w:t>
      </w:r>
      <w:r>
        <w:t xml:space="preserve">“What do you plan to do?”</w:t>
      </w:r>
      <w:r>
        <w:t xml:space="preserve">) and real actions taken later on (</w:t>
      </w:r>
      <w:r>
        <w:t xml:space="preserve">“What did you actually do?”</w:t>
      </w:r>
      <w:r>
        <w:t xml:space="preserv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 Are you renewing your service package with 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satisfaction might vary across tiers (maybe high-tier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 - 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 - one of purpose.</w:t>
      </w:r>
      <w:r>
        <w:t xml:space="preserve"> </w:t>
      </w:r>
      <w:r>
        <w:t xml:space="preserve">“What is the sales forecast for?”</w:t>
      </w:r>
      <w:r>
        <w:t xml:space="preserve">. You might have come across this or a similar question in class or at work: You worked out a nice solution for an assignment or a project, and then you get the question</w:t>
      </w:r>
      <w:r>
        <w:t xml:space="preserve"> </w:t>
      </w:r>
      <w:r>
        <w:t xml:space="preserve">“But what exactly does your solution address?”</w:t>
      </w:r>
      <w:r>
        <w:t xml:space="preserve"> </w:t>
      </w:r>
      <w:r>
        <w:t xml:space="preserve">and then it sets you back to the beginning where you have to dig deeper what the actual decision problem is.</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p>
      <w:pPr>
        <w:pStyle w:val="FirstParagraph"/>
      </w:pPr>
      <w:r>
        <w:t xml:space="preserve">These question highlight again the need to consult other people, how should you know all of it?</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In the forecasting example, accuracy may receive 70% and complexity 30%.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How many resources can we spare?</w:t>
      </w:r>
    </w:p>
    <w:p>
      <w:pPr>
        <w:pStyle w:val="Compact"/>
        <w:numPr>
          <w:ilvl w:val="0"/>
          <w:numId w:val="1004"/>
        </w:numPr>
      </w:pPr>
      <w:r>
        <w:t xml:space="preserve">What is affected by the possible alternatives?</w:t>
      </w:r>
    </w:p>
    <w:p>
      <w:pPr>
        <w:pStyle w:val="Compact"/>
        <w:numPr>
          <w:ilvl w:val="0"/>
          <w:numId w:val="1004"/>
        </w:numPr>
      </w:pPr>
      <w:r>
        <w:t xml:space="preserve">Who or what might be impacted?</w:t>
      </w:r>
    </w:p>
    <w:p>
      <w:pPr>
        <w:pStyle w:val="Compact"/>
        <w:numPr>
          <w:ilvl w:val="0"/>
          <w:numId w:val="1004"/>
        </w:numPr>
      </w:pPr>
      <w:r>
        <w:t xml:space="preserve">What do we need to trade off (e.g., costs versus benefits -</w:t>
      </w:r>
      <w:r>
        <w:t xml:space="preserve"> </w:t>
      </w:r>
      <w:r>
        <w:t xml:space="preserve">“We want to cheap, but also top-notch and fast”</w:t>
      </w:r>
      <w:r>
        <w:t xml:space="preserve">)?</w:t>
      </w:r>
    </w:p>
    <w:p>
      <w:pPr>
        <w:pStyle w:val="Compact"/>
        <w:numPr>
          <w:ilvl w:val="0"/>
          <w:numId w:val="1004"/>
        </w:numPr>
      </w:pPr>
      <w:r>
        <w:t xml:space="preserve">What cost is more significant for us?</w:t>
      </w:r>
    </w:p>
    <w:p>
      <w:pPr>
        <w:pStyle w:val="Compact"/>
        <w:numPr>
          <w:ilvl w:val="0"/>
          <w:numId w:val="1004"/>
        </w:numPr>
      </w:pPr>
      <w:r>
        <w:t xml:space="preserve">Possible side-effects when implementing the solution?</w:t>
      </w:r>
    </w:p>
    <w:bookmarkEnd w:id="54"/>
    <w:bookmarkStart w:id="67"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That is, the cause of your problem is a sensible starting point to solve.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and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2024</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a store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w:t>
      </w:r>
      <w:r>
        <w:t xml:space="preserve">The important point is that the three descriptives SD, 5%, and 95% percentiles that there is a lot of variation around the mean, and hence a lot to explain.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 A</w:t>
      </w:r>
      <w:r>
        <w:t xml:space="preserve"> </w:t>
      </w:r>
      <w:r>
        <w:t xml:space="preserve">“data-generating process”</w:t>
      </w:r>
      <w:r>
        <w:t xml:space="preserve"> </w:t>
      </w:r>
      <w:r>
        <w:t xml:space="preserve">is called like this because it refers to the underlying mechanisms that produce the data we end up observing.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(groups A to E) exists. We only focus on the relevant size category (1,200 square meters) here for ease of exposition, but you should of course always check whether your model holds for all areas of the data.</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 which tells us that location density does help to explain revenues. However, the standard deviations (and the 5%/95% percentiles) within each group are still quite large, indicating there is still a lot of variation in revenues that isn’t explained by just density. In simpler terms:</w:t>
      </w:r>
      <w:r>
        <w:t xml:space="preserve"> </w:t>
      </w:r>
      <w:r>
        <w:t xml:space="preserve">“Adding density as a factor reduced the unexplained variance, but there’s still plenty of room to improve the model.”</w:t>
      </w:r>
      <w:r>
        <w:t xml:space="preserve"> </w:t>
      </w:r>
      <w:r>
        <w:t xml:space="preserve">If we can further improve on explained variation, it would be worthwhile to do so.</w:t>
      </w:r>
    </w:p>
    <w:p>
      <w:pPr>
        <w:pStyle w:val="BodyText"/>
      </w:pPr>
      <w:r>
        <w:t xml:space="preserve">Let’s assume you also have categories of how wealthy people (groups A to 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 - 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It is similar to when a person tells you</w:t>
      </w:r>
      <w:r>
        <w:t xml:space="preserve"> </w:t>
      </w:r>
      <w:r>
        <w:t xml:space="preserve">“In MY experience…”</w:t>
      </w:r>
      <w:r>
        <w:t xml:space="preserve"> </w:t>
      </w:r>
      <w:r>
        <w:t xml:space="preserve">- but what about the other people’s experience?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observations to say much with certainty here. If we would use those cell averages to make predictions, we need to be very cautious. These averages are only</w:t>
      </w:r>
      <w:r>
        <w:t xml:space="preserve"> </w:t>
      </w:r>
      <w:r>
        <w:t xml:space="preserve">“anecdotal”</w:t>
      </w:r>
      <w:r>
        <w:t xml:space="preserve"> </w:t>
      </w:r>
      <w:r>
        <w:t xml:space="preserve">- 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 - 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lifestyle?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later on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existing density and wealth categories and use the average as our forecast, ignoring what we discussed before. For this we need to collect some data on the density and wealth surrounding the new location. We can:</w:t>
      </w:r>
    </w:p>
    <w:p>
      <w:pPr>
        <w:pStyle w:val="Compact"/>
        <w:numPr>
          <w:ilvl w:val="1"/>
          <w:numId w:val="1008"/>
        </w:numPr>
      </w:pPr>
      <w:r>
        <w:t xml:space="preserve">Infer this from public statistics, if available, and/or</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is). However, if this is part of the full feasibility analysis of building that supermarket and you have weeks to finish this (as well as a bigger budget), then spending some time on investigating lifestyle importance is probably worthwhile. The intermediate alternative could be fine too. We ignore lifestyle because density and wealth seem to already explain a lot of variation in revenues across supermarkets.</w:t>
      </w:r>
      <w:r>
        <w:rPr>
          <w:rStyle w:val="FootnoteReference"/>
        </w:rPr>
        <w:footnoteReference w:id="66"/>
      </w:r>
      <w:r>
        <w:t xml:space="preserve"> </w:t>
      </w:r>
      <w:r>
        <w:t xml:space="preserve">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7"/>
    <w:bookmarkStart w:id="73"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potentially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1" w:name="fig-lossfuns"/>
          <w:p>
            <w:pPr>
              <w:pStyle w:val="Compact"/>
              <w:jc w:val="center"/>
            </w:pPr>
            <w:r>
              <w:drawing>
                <wp:inline>
                  <wp:extent cx="5334000" cy="4267200"/>
                  <wp:effectExtent b="0" l="0" r="0" t="0"/>
                  <wp:docPr descr="" title="" id="69" name="Picture"/>
                  <a:graphic>
                    <a:graphicData uri="http://schemas.openxmlformats.org/drawingml/2006/picture">
                      <pic:pic>
                        <pic:nvPicPr>
                          <pic:cNvPr descr="decision-making_files/figure-docx/fig-lossfuns-1.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1"/>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1.53 - 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 - 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 which heavily penalizes large errors as they got squared.</w:t>
      </w:r>
      <w:r>
        <w:rPr>
          <w:rStyle w:val="FootnoteReference"/>
        </w:rPr>
        <w:footnoteReference w:id="72"/>
      </w:r>
      <w:r>
        <w:t xml:space="preserve"> </w:t>
      </w:r>
      <w:r>
        <w:t xml:space="preserve">If you pick ordinary least squares, you’re basically saying,</w:t>
      </w:r>
      <w:r>
        <w:t xml:space="preserve"> </w:t>
      </w:r>
      <w:r>
        <w:t xml:space="preserve">“I want to avoid big misses very strongly,”</w:t>
      </w:r>
      <w:r>
        <w:t xml:space="preserve"> </w:t>
      </w:r>
      <w:r>
        <w:t xml:space="preserve">so you punish them more than small ones. That choice leads the model to focus on predicting the mean as closely as possible So when you pick a prediction method (machine learning or regression), you’ve implicitly picked how you measure mistakes (the loss function). That’s important because how you measure errors (squared, absolute difference, etc.) changes the strategy the model will use to make predictions.</w:t>
      </w:r>
    </w:p>
    <w:bookmarkEnd w:id="73"/>
    <w:bookmarkStart w:id="74"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This analysis helps by asking: What happens if conditions change? You define a handful of plausible future</w:t>
      </w:r>
      <w:r>
        <w:t xml:space="preserve"> </w:t>
      </w:r>
      <w:r>
        <w:t xml:space="preserve">“scenarios”</w:t>
      </w:r>
      <w:r>
        <w:t xml:space="preserve"> </w:t>
      </w:r>
      <w:r>
        <w:t xml:space="preserve">(like</w:t>
      </w:r>
      <w:r>
        <w:t xml:space="preserve"> </w:t>
      </w:r>
      <w:r>
        <w:t xml:space="preserve">“High demand,”</w:t>
      </w:r>
      <w:r>
        <w:t xml:space="preserve"> </w:t>
      </w:r>
      <w:r>
        <w:t xml:space="preserve">“Normal demand,”</w:t>
      </w:r>
      <w:r>
        <w:t xml:space="preserve"> </w:t>
      </w:r>
      <w:r>
        <w:t xml:space="preserve">“Low demand”</w:t>
      </w:r>
      <w:r>
        <w:t xml:space="preserve">) and see how well each choice performs in each scenario.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 Example:</w:t>
      </w:r>
    </w:p>
    <w:p>
      <w:pPr>
        <w:pStyle w:val="Compact"/>
        <w:numPr>
          <w:ilvl w:val="1"/>
          <w:numId w:val="1011"/>
        </w:numPr>
      </w:pPr>
      <w:r>
        <w:t xml:space="preserve">Scenario probabilities: Low demand (20%), Normal demand (60%), High demand (20%).</w:t>
      </w:r>
    </w:p>
    <w:p>
      <w:pPr>
        <w:pStyle w:val="Compact"/>
        <w:numPr>
          <w:ilvl w:val="2"/>
          <w:numId w:val="1012"/>
        </w:numPr>
      </w:pPr>
      <w:r>
        <w:t xml:space="preserve">Alternative A (e.g., a smaller store) might earn:</w:t>
      </w:r>
    </w:p>
    <w:p>
      <w:pPr>
        <w:pStyle w:val="Compact"/>
        <w:numPr>
          <w:ilvl w:val="2"/>
          <w:numId w:val="1012"/>
        </w:numPr>
      </w:pPr>
      <w:r>
        <w:t xml:space="preserve">Low Demand = €100,000</w:t>
      </w:r>
    </w:p>
    <w:p>
      <w:pPr>
        <w:pStyle w:val="Compact"/>
        <w:numPr>
          <w:ilvl w:val="2"/>
          <w:numId w:val="1012"/>
        </w:numPr>
      </w:pPr>
      <w:r>
        <w:t xml:space="preserve">Normal Demand = €200,000</w:t>
      </w:r>
    </w:p>
    <w:p>
      <w:pPr>
        <w:pStyle w:val="Compact"/>
        <w:numPr>
          <w:ilvl w:val="2"/>
          <w:numId w:val="1012"/>
        </w:numPr>
      </w:pPr>
      <w:r>
        <w:t xml:space="preserve">High Demand = €500,000</w:t>
      </w:r>
    </w:p>
    <w:p>
      <w:pPr>
        <w:pStyle w:val="Compact"/>
        <w:numPr>
          <w:ilvl w:val="2"/>
          <w:numId w:val="1012"/>
        </w:numPr>
      </w:pPr>
      <w:r>
        <w:t xml:space="preserve">Weighted average payoff = (0.2 x €100,000) + (0.6 x €200,000) + (0.2 x €500,000) = €220,000</w:t>
      </w:r>
    </w:p>
    <w:p>
      <w:pPr>
        <w:pStyle w:val="Compact"/>
        <w:numPr>
          <w:ilvl w:val="1"/>
          <w:numId w:val="1011"/>
        </w:numPr>
      </w:pPr>
      <w:r>
        <w:t xml:space="preserve">Do the same for Alternative B (e.g., a bigger store) and pick whichever alternative has the highest weighted net benefit. You have effectively chosen the best option on average, factoring in how likely each scenario is.</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For each possible alternative (e.g.,</w:t>
      </w:r>
      <w:r>
        <w:t xml:space="preserve"> </w:t>
      </w:r>
      <w:r>
        <w:t xml:space="preserve">“launch product”</w:t>
      </w:r>
      <w:r>
        <w:t xml:space="preserve"> </w:t>
      </w:r>
      <w:r>
        <w:t xml:space="preserve">vs. </w:t>
      </w:r>
      <w:r>
        <w:t xml:space="preserve">“do not launch product”</w:t>
      </w:r>
      <w:r>
        <w:t xml:space="preserve">), list out the outcome/payoff under every possible scenario (e.g.,</w:t>
      </w:r>
      <w:r>
        <w:t xml:space="preserve"> </w:t>
      </w:r>
      <w:r>
        <w:t xml:space="preserve">“High demand,”</w:t>
      </w:r>
      <w:r>
        <w:t xml:space="preserve"> </w:t>
      </w:r>
      <w:r>
        <w:t xml:space="preserve">“Low demand”</w:t>
      </w:r>
      <w:r>
        <w:t xml:space="preserve">). Then identify the worst payoff (the minimum) for that alternative across all its scenarios. Compare those worst payoffs across alternatives, and pick the alternative whose minimum payoff is highest (</w:t>
      </w:r>
      <w:r>
        <w:t xml:space="preserve">“max”</w:t>
      </w:r>
      <w:r>
        <w:t xml:space="preserve"> </w:t>
      </w:r>
      <w:r>
        <w:t xml:space="preserve">of the</w:t>
      </w:r>
      <w:r>
        <w:t xml:space="preserve"> </w:t>
      </w:r>
      <w:r>
        <w:t xml:space="preserve">“min”</w:t>
      </w:r>
      <w:r>
        <w:t xml:space="preserve"> </w:t>
      </w:r>
      <w:r>
        <w:t xml:space="preserve">outcomes). 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 Example:</w:t>
      </w:r>
    </w:p>
    <w:p>
      <w:pPr>
        <w:pStyle w:val="Compact"/>
        <w:numPr>
          <w:ilvl w:val="1"/>
          <w:numId w:val="1013"/>
        </w:numPr>
      </w:pPr>
      <w:r>
        <w:t xml:space="preserve">Alternative A in low demand: + €100.000</w:t>
      </w:r>
    </w:p>
    <w:p>
      <w:pPr>
        <w:pStyle w:val="Compact"/>
        <w:numPr>
          <w:ilvl w:val="1"/>
          <w:numId w:val="1013"/>
        </w:numPr>
      </w:pPr>
      <w:r>
        <w:t xml:space="preserve">Alternative A in high demand: + €250.000</w:t>
      </w:r>
    </w:p>
    <w:p>
      <w:pPr>
        <w:pStyle w:val="Compact"/>
        <w:numPr>
          <w:ilvl w:val="1"/>
          <w:numId w:val="1013"/>
        </w:numPr>
      </w:pPr>
      <w:r>
        <w:t xml:space="preserve">Alternative B in low demand: + €75.000</w:t>
      </w:r>
    </w:p>
    <w:p>
      <w:pPr>
        <w:pStyle w:val="Compact"/>
        <w:numPr>
          <w:ilvl w:val="1"/>
          <w:numId w:val="1013"/>
        </w:numPr>
      </w:pPr>
      <w:r>
        <w:t xml:space="preserve">Alternative B in high demand: + €280.000</w:t>
      </w:r>
    </w:p>
    <w:p>
      <w:pPr>
        <w:pStyle w:val="Compact"/>
        <w:numPr>
          <w:ilvl w:val="1"/>
          <w:numId w:val="1013"/>
        </w:numPr>
      </w:pPr>
      <w:r>
        <w:t xml:space="preserve">If you choose maximin you would pick A because its minimum (the worst -&gt; €100.000) across demand scenarios is higher than the worst of B (€75.000).</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4"/>
    <w:bookmarkEnd w:id="75"/>
    <w:bookmarkStart w:id="81"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4"/>
        </w:numPr>
      </w:pPr>
      <w:r>
        <w:t xml:space="preserve">Descriptive: What happened in the past</w:t>
      </w:r>
    </w:p>
    <w:p>
      <w:pPr>
        <w:pStyle w:val="Compact"/>
        <w:numPr>
          <w:ilvl w:val="0"/>
          <w:numId w:val="1014"/>
        </w:numPr>
      </w:pPr>
      <w:r>
        <w:t xml:space="preserve">Diagnostic: Why did it happen?</w:t>
      </w:r>
    </w:p>
    <w:p>
      <w:pPr>
        <w:pStyle w:val="Compact"/>
        <w:numPr>
          <w:ilvl w:val="0"/>
          <w:numId w:val="1014"/>
        </w:numPr>
      </w:pPr>
      <w:r>
        <w:t xml:space="preserve">Predictive: What will happen?</w:t>
      </w:r>
    </w:p>
    <w:p>
      <w:pPr>
        <w:pStyle w:val="Compact"/>
        <w:numPr>
          <w:ilvl w:val="0"/>
          <w:numId w:val="1014"/>
        </w:numPr>
      </w:pPr>
      <w:r>
        <w:t xml:space="preserve">Prescriptive: What should we do?</w:t>
      </w:r>
    </w:p>
    <w:bookmarkStart w:id="76"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6"/>
    <w:bookmarkStart w:id="77"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7"/>
    <w:bookmarkStart w:id="78"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predictive analysis in</w:t>
      </w:r>
      <w:r>
        <w:t xml:space="preserve"> </w:t>
      </w:r>
      <w:hyperlink w:anchor="sec-pred">
        <w:r>
          <w:rPr>
            <w:rStyle w:val="Hyperlink"/>
          </w:rPr>
          <w:t xml:space="preserve">Chapter 5</w:t>
        </w:r>
      </w:hyperlink>
      <w:r>
        <w:t xml:space="preserve">.</w:t>
      </w:r>
    </w:p>
    <w:bookmarkEnd w:id="78"/>
    <w:bookmarkStart w:id="80"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9"/>
      </w:r>
      <w:r>
        <w:t xml:space="preserve"> </w:t>
      </w:r>
      <w:r>
        <w:t xml:space="preserve">A different definition - and the one we adopt - 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80"/>
    <w:bookmarkEnd w:id="81"/>
    <w:bookmarkStart w:id="86"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5"/>
        </w:numPr>
      </w:pPr>
      <w:r>
        <w:t xml:space="preserve">Decisions will always be based on an incomplete and, to some degree, inadequate comprehension of the true nature of the problem being faced.</w:t>
      </w:r>
    </w:p>
    <w:p>
      <w:pPr>
        <w:pStyle w:val="BlockText"/>
        <w:numPr>
          <w:ilvl w:val="0"/>
          <w:numId w:val="1015"/>
        </w:numPr>
      </w:pPr>
      <w:r>
        <w:t xml:space="preserve">Decision-makers will never succeed in generating all possible alternative solutions for consideration.</w:t>
      </w:r>
    </w:p>
    <w:p>
      <w:pPr>
        <w:pStyle w:val="BlockText"/>
        <w:numPr>
          <w:ilvl w:val="0"/>
          <w:numId w:val="1015"/>
        </w:numPr>
      </w:pPr>
      <w:r>
        <w:t xml:space="preserve">Alternatives are always evaluated incompletely because it is impossible to predict accurately all consequences associated with each alternative.</w:t>
      </w:r>
    </w:p>
    <w:p>
      <w:pPr>
        <w:pStyle w:val="BlockText"/>
        <w:numPr>
          <w:ilvl w:val="0"/>
          <w:numId w:val="1015"/>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 - no matter how good the data are - 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3" name="Picture"/>
            <a:graphic>
              <a:graphicData uri="http://schemas.openxmlformats.org/drawingml/2006/picture">
                <pic:pic>
                  <pic:nvPicPr>
                    <pic:cNvPr descr="pics/P1/channel-tunnel.jpg" id="84" name="Picture"/>
                    <pic:cNvPicPr>
                      <a:picLocks noChangeArrowheads="1" noChangeAspect="1"/>
                    </pic:cNvPicPr>
                  </pic:nvPicPr>
                  <pic:blipFill>
                    <a:blip r:embed="rId82"/>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6"/>
        </w:numPr>
      </w:pPr>
      <w:r>
        <w:rPr>
          <w:b/>
          <w:bCs/>
        </w:rPr>
        <w:t xml:space="preserve">Model uncertainty.</w:t>
      </w:r>
      <w:r>
        <w:t xml:space="preserve"> </w:t>
      </w:r>
      <w:r>
        <w:t xml:space="preserve">Sometimes also called system uncertainty. We like the term model uncertainty because we want to include all the implicit mental models you might have - but never fully spelled out - 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6"/>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6"/>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or political dynamics) to be forecast with any degree of precision, or simply unknown to us. It is the inevitable unpredictability in reality. Even if your map (model) were perfect, random and unmeasurable events - like sudden shifts in consumer tastes or unexpected political upheavals - can still throw things off. Thus in many situations, it is impossible to quantify the residual uncertainty and we have to think about how to make sensible decisions in these cases too.</w:t>
      </w:r>
      <w:r>
        <w:rPr>
          <w:rStyle w:val="FootnoteReference"/>
        </w:rPr>
        <w:footnoteReference w:id="85"/>
      </w:r>
    </w:p>
    <w:bookmarkEnd w:id="86"/>
    <w:bookmarkEnd w:id="87"/>
    <w:bookmarkStart w:id="197" w:name="sec-datapat"/>
    <w:p>
      <w:pPr>
        <w:pStyle w:val="Heading1"/>
      </w:pPr>
      <w:r>
        <w:t xml:space="preserve">3. Identifying Data Patterns</w:t>
      </w:r>
    </w:p>
    <w:bookmarkStart w:id="88" w:name="learning-goals-1"/>
    <w:p>
      <w:pPr>
        <w:pStyle w:val="Heading2"/>
      </w:pPr>
      <w:r>
        <w:t xml:space="preserve">3.1 Learning goals</w:t>
      </w:r>
    </w:p>
    <w:p>
      <w:pPr>
        <w:pStyle w:val="Compact"/>
        <w:numPr>
          <w:ilvl w:val="0"/>
          <w:numId w:val="1017"/>
        </w:numPr>
      </w:pPr>
      <w:r>
        <w:t xml:space="preserve">Understand the importance of identifying data patterns</w:t>
      </w:r>
    </w:p>
    <w:p>
      <w:pPr>
        <w:pStyle w:val="Compact"/>
        <w:numPr>
          <w:ilvl w:val="0"/>
          <w:numId w:val="1017"/>
        </w:numPr>
      </w:pPr>
      <w:r>
        <w:t xml:space="preserve">Evaluate the relevance of visualization and statistical techniques for analyzing data patterns</w:t>
      </w:r>
    </w:p>
    <w:p>
      <w:pPr>
        <w:pStyle w:val="Compact"/>
        <w:numPr>
          <w:ilvl w:val="0"/>
          <w:numId w:val="1017"/>
        </w:numPr>
      </w:pPr>
      <w:r>
        <w:t xml:space="preserve">Explain and tackle several data challenges</w:t>
      </w:r>
    </w:p>
    <w:bookmarkEnd w:id="88"/>
    <w:bookmarkStart w:id="89"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9"/>
    <w:bookmarkStart w:id="90"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when it comes to digging into the data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Data patterns serve multiple purposes:</w:t>
      </w:r>
    </w:p>
    <w:p>
      <w:pPr>
        <w:numPr>
          <w:ilvl w:val="0"/>
          <w:numId w:val="1018"/>
        </w:numPr>
      </w:pPr>
      <w:r>
        <w:rPr>
          <w:b/>
          <w:bCs/>
        </w:rPr>
        <w:t xml:space="preserve">Generating initial insights:</w:t>
      </w:r>
      <w:r>
        <w:t xml:space="preserve"> </w:t>
      </w:r>
      <w:r>
        <w:t xml:space="preserve">Recognizing recurring structures or trends in data provides an early glimpse into how different factors - such as consumer behavior, expenses, or operational processes - might be interconnected.</w:t>
      </w:r>
    </w:p>
    <w:p>
      <w:pPr>
        <w:numPr>
          <w:ilvl w:val="0"/>
          <w:numId w:val="1018"/>
        </w:numPr>
      </w:pPr>
      <w:r>
        <w:rPr>
          <w:b/>
          <w:bCs/>
        </w:rPr>
        <w:t xml:space="preserve">Guiding further analysis:</w:t>
      </w:r>
      <w:r>
        <w:t xml:space="preserve"> </w:t>
      </w:r>
      <w:r>
        <w:t xml:space="preserve">Patterns offer starting hypotheses about potential drivers of an outcome. These hypotheses can then be tested and refined through diagnostic or predictive models, enabling more precise and reliable conclusions.</w:t>
      </w:r>
    </w:p>
    <w:p>
      <w:pPr>
        <w:numPr>
          <w:ilvl w:val="0"/>
          <w:numId w:val="1018"/>
        </w:numPr>
      </w:pPr>
      <w:r>
        <w:rPr>
          <w:b/>
          <w:bCs/>
        </w:rPr>
        <w:t xml:space="preserve">Detecting anomalies:</w:t>
      </w:r>
      <w:r>
        <w:t xml:space="preserve"> </w:t>
      </w:r>
      <w:r>
        <w:t xml:space="preserve">Patterns can highlight anomalies or outliers that deviate significantly from the norm. These may signal errors, fraud, or data quality issues that need prompt investigation.</w:t>
      </w:r>
    </w:p>
    <w:p>
      <w:pPr>
        <w:numPr>
          <w:ilvl w:val="0"/>
          <w:numId w:val="1018"/>
        </w:numPr>
      </w:pPr>
      <w:r>
        <w:rPr>
          <w:b/>
          <w:bCs/>
        </w:rPr>
        <w:t xml:space="preserve">Laying the groundwork for advanced techniques:</w:t>
      </w:r>
      <w:r>
        <w:t xml:space="preserve"> </w:t>
      </w:r>
      <w:r>
        <w:t xml:space="preserve">Once key patterns are recognized, deeper analyses (e.g., causal modeling, predictive analytics) can follow. This helps to move from merely spotting patterns to fully exploiting them for improved decision-making.</w:t>
      </w:r>
    </w:p>
    <w:p>
      <w:pPr>
        <w:pStyle w:val="FirstParagraph"/>
      </w:pPr>
      <w:r>
        <w:t xml:space="preserve">As you will see in the next section, examples drawn from various types of data - such as customer, financial, operational, marketing, or employee data - illustrate how identifying and examining patterns can show pathways to more detailed investigation and action.</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90"/>
    <w:bookmarkStart w:id="96" w:name="examples-of-data-patterns"/>
    <w:p>
      <w:pPr>
        <w:pStyle w:val="Heading2"/>
      </w:pPr>
      <w:r>
        <w:t xml:space="preserve">3.4 Examples of data patterns</w:t>
      </w:r>
    </w:p>
    <w:bookmarkStart w:id="91" w:name="customer-data"/>
    <w:p>
      <w:pPr>
        <w:pStyle w:val="Heading3"/>
      </w:pPr>
      <w:r>
        <w:t xml:space="preserve">3.4.1 Customer data</w:t>
      </w:r>
    </w:p>
    <w:p>
      <w:pPr>
        <w:pStyle w:val="FirstParagraph"/>
      </w:pPr>
      <w:r>
        <w:t xml:space="preserve">A business tracks metrics like purchase frequency, product categories, and seasonal buying patterns.</w:t>
      </w:r>
    </w:p>
    <w:p>
      <w:pPr>
        <w:numPr>
          <w:ilvl w:val="0"/>
          <w:numId w:val="1019"/>
        </w:numPr>
      </w:pPr>
      <w:r>
        <w:t xml:space="preserve">Example 1: Sales data reveals a particular product is consistently purchased in two-week intervals. Further investigation ties this pattern to the product’s short shelf life, prompting adjusted inventory practices to be stocked up at the right moment and promotional tactics.</w:t>
      </w:r>
    </w:p>
    <w:p>
      <w:pPr>
        <w:numPr>
          <w:ilvl w:val="0"/>
          <w:numId w:val="1019"/>
        </w:numPr>
      </w:pPr>
      <w:r>
        <w:t xml:space="preserve">Example 2: Purchases spike around specific holidays. The company discovers this is linked to seasonal promotions, guiding more precise marketing campaigns during those periods.</w:t>
      </w:r>
    </w:p>
    <w:p>
      <w:pPr>
        <w:pStyle w:val="FirstParagraph"/>
      </w:pPr>
      <w:r>
        <w:t xml:space="preserve">Identifying these patterns helps businesses optimize product availability and tailor promotions to customer buying behaviors.</w:t>
      </w:r>
    </w:p>
    <w:bookmarkEnd w:id="91"/>
    <w:bookmarkStart w:id="92" w:name="financial-data"/>
    <w:p>
      <w:pPr>
        <w:pStyle w:val="Heading3"/>
      </w:pPr>
      <w:r>
        <w:t xml:space="preserve">3.4.2 Financial data</w:t>
      </w:r>
    </w:p>
    <w:p>
      <w:pPr>
        <w:pStyle w:val="FirstParagraph"/>
      </w:pPr>
      <w:r>
        <w:t xml:space="preserve">A company monitors expenses across categories, budget allocations, and cash flows.</w:t>
      </w:r>
    </w:p>
    <w:p>
      <w:pPr>
        <w:numPr>
          <w:ilvl w:val="0"/>
          <w:numId w:val="1020"/>
        </w:numPr>
      </w:pPr>
      <w:r>
        <w:t xml:space="preserve">Example 1: Travel costs regularly exceed targets. Further analysis links the overrun to frequent business trips; the company curbs costs through video conferencing and travel agency discounts.</w:t>
      </w:r>
    </w:p>
    <w:p>
      <w:pPr>
        <w:numPr>
          <w:ilvl w:val="0"/>
          <w:numId w:val="1020"/>
        </w:numPr>
      </w:pPr>
      <w:r>
        <w:t xml:space="preserve">Example 2: Multiple expense categories go over budget due to weak oversight. The firm introduces stricter policies and tracking tools, reducing overspending and boosting transparency.</w:t>
      </w:r>
    </w:p>
    <w:p>
      <w:pPr>
        <w:pStyle w:val="FirstParagraph"/>
      </w:pPr>
      <w:r>
        <w:t xml:space="preserve">As you see, looking for patterns in expense data helps with the control of costs.</w:t>
      </w:r>
    </w:p>
    <w:bookmarkEnd w:id="92"/>
    <w:bookmarkStart w:id="93"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w:t>
      </w:r>
    </w:p>
    <w:p>
      <w:pPr>
        <w:numPr>
          <w:ilvl w:val="0"/>
          <w:numId w:val="1021"/>
        </w:numPr>
      </w:pPr>
      <w:r>
        <w:t xml:space="preserve">Example 1: Defect rates spike at a specific production step. Further study discovers faulty machinery, leading to repairs or process adjustments that cut defects.</w:t>
      </w:r>
    </w:p>
    <w:p>
      <w:pPr>
        <w:numPr>
          <w:ilvl w:val="0"/>
          <w:numId w:val="1021"/>
        </w:numPr>
      </w:pPr>
      <w:r>
        <w:t xml:space="preserve">Example 2: Persistent bottlenecks emerge in one stage of the workflow. Deeper analysis ties them to inadequate resources, prompting workforce adjustments or supply chain improvements.</w:t>
      </w:r>
    </w:p>
    <w:p>
      <w:pPr>
        <w:pStyle w:val="FirstParagraph"/>
      </w:pPr>
      <w:r>
        <w:t xml:space="preserve">Also here, monitoring production data and identifying data patterns helps the company to improve its production processes and reduce waste.</w:t>
      </w:r>
    </w:p>
    <w:bookmarkEnd w:id="93"/>
    <w:bookmarkStart w:id="94"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w:t>
      </w:r>
    </w:p>
    <w:p>
      <w:pPr>
        <w:numPr>
          <w:ilvl w:val="0"/>
          <w:numId w:val="1022"/>
        </w:numPr>
      </w:pPr>
      <w:r>
        <w:t xml:space="preserve">Example 1: Personalized emails yield significantly higher conversions. Further review credits tailored messaging with greater relevance, prompting the company to invest more in personalization.</w:t>
      </w:r>
    </w:p>
    <w:p>
      <w:pPr>
        <w:numPr>
          <w:ilvl w:val="0"/>
          <w:numId w:val="1022"/>
        </w:numPr>
      </w:pPr>
      <w:r>
        <w:t xml:space="preserve">Example 2: Response rates dip when messages go out during certain weekdays. Investigation finds customers are busy during working hours, prompting a revised schedule to optimize engagement.</w:t>
      </w:r>
    </w:p>
    <w:p>
      <w:pPr>
        <w:pStyle w:val="FirstParagraph"/>
      </w:pPr>
      <w:r>
        <w:t xml:space="preserve">In both cases, the pattern in marketing data is a first insight that can help the business to improve its marketing campaigns and increase its response rates and customer engagement.</w:t>
      </w:r>
    </w:p>
    <w:bookmarkEnd w:id="94"/>
    <w:bookmarkStart w:id="95" w:name="employee-data"/>
    <w:p>
      <w:pPr>
        <w:pStyle w:val="Heading3"/>
      </w:pPr>
      <w:r>
        <w:t xml:space="preserve">3.4.5 Employee data</w:t>
      </w:r>
    </w:p>
    <w:p>
      <w:pPr>
        <w:pStyle w:val="FirstParagraph"/>
      </w:pPr>
      <w:r>
        <w:t xml:space="preserve">Imagine a company that has been tracking employee turnover.</w:t>
      </w:r>
    </w:p>
    <w:p>
      <w:pPr>
        <w:numPr>
          <w:ilvl w:val="0"/>
          <w:numId w:val="1023"/>
        </w:numPr>
      </w:pPr>
      <w:r>
        <w:t xml:space="preserve">Example 1: Certain departments suffer higher turnover, especially among newer hires lacking career growth. Improvements in onboarding and promotion pathways help retain talent.</w:t>
      </w:r>
    </w:p>
    <w:p>
      <w:pPr>
        <w:numPr>
          <w:ilvl w:val="0"/>
          <w:numId w:val="1023"/>
        </w:numPr>
      </w:pPr>
      <w:r>
        <w:t xml:space="preserve">Example 2: Surveys show higher satisfaction among employees with flexible schedules. In response, leadership expands remote and adjustable work-hour options to boost morale and retention.</w:t>
      </w:r>
    </w:p>
    <w:p>
      <w:pPr>
        <w:pStyle w:val="FirstParagraph"/>
      </w:pPr>
      <w:r>
        <w:t xml:space="preserve">Both examples show how the identification of simple patterns can kick off analyses to decrease turnover and increase job satisfaction.</w:t>
      </w:r>
    </w:p>
    <w:p>
      <w:pPr>
        <w:pStyle w:val="BodyText"/>
      </w:pPr>
      <w:r>
        <w:t xml:space="preserve">Note, all of the examples above are sort of</w:t>
      </w:r>
      <w:r>
        <w:t xml:space="preserve"> </w:t>
      </w:r>
      <w:r>
        <w:t xml:space="preserve">“shortcuts”</w:t>
      </w:r>
      <w:r>
        <w:t xml:space="preserve"> </w:t>
      </w:r>
      <w:r>
        <w:t xml:space="preserve">from looking at rough data patterns to solutions. Of course, as you know from our framework, there are more steps involved to get to the eventual solution.</w:t>
      </w:r>
    </w:p>
    <w:bookmarkEnd w:id="95"/>
    <w:bookmarkEnd w:id="96"/>
    <w:bookmarkStart w:id="184" w:name="techniques-for-identifying-data-patterns"/>
    <w:p>
      <w:pPr>
        <w:pStyle w:val="Heading2"/>
      </w:pPr>
      <w:r>
        <w:t xml:space="preserve">3.5 Techniques for identifying data patterns</w:t>
      </w:r>
    </w:p>
    <w:bookmarkStart w:id="101"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By using a systematic approach like our framework,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100" w:name="fig-buydeproc"/>
          <w:p>
            <w:pPr>
              <w:pStyle w:val="Compact"/>
              <w:jc w:val="center"/>
            </w:pPr>
            <w:r>
              <w:drawing>
                <wp:inline>
                  <wp:extent cx="3810000" cy="3810000"/>
                  <wp:effectExtent b="0" l="0" r="0" t="0"/>
                  <wp:docPr descr="" title="" id="98" name="Picture"/>
                  <a:graphic>
                    <a:graphicData uri="http://schemas.openxmlformats.org/drawingml/2006/picture">
                      <pic:pic>
                        <pic:nvPicPr>
                          <pic:cNvPr descr="pics/C2/consumbeh.png" id="99" name="Picture"/>
                          <pic:cNvPicPr>
                            <a:picLocks noChangeArrowheads="1" noChangeAspect="1"/>
                          </pic:cNvPicPr>
                        </pic:nvPicPr>
                        <pic:blipFill>
                          <a:blip r:embed="rId97"/>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100"/>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Or,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to imagine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w:t>
      </w:r>
    </w:p>
    <w:bookmarkEnd w:id="101"/>
    <w:bookmarkStart w:id="164"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(see example</w:t>
      </w:r>
      <w:r>
        <w:t xml:space="preserve"> </w:t>
      </w:r>
      <w:hyperlink w:anchor="sec-identify">
        <w:r>
          <w:rPr>
            <w:rStyle w:val="Hyperlink"/>
          </w:rPr>
          <w:t xml:space="preserve">Section 2.3.2</w:t>
        </w:r>
      </w:hyperlink>
      <w:r>
        <w:t xml:space="preserve">).</w:t>
      </w:r>
    </w:p>
    <w:p>
      <w:pPr>
        <w:pStyle w:val="BodyText"/>
      </w:pPr>
      <w:r>
        <w:t xml:space="preserve">The human brain is wired to process and interpret visual information quickly, and data visualization leverages this natural ability to help us understand complex data more easily.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w:t>
      </w:r>
    </w:p>
    <w:p>
      <w:pPr>
        <w:pStyle w:val="BodyText"/>
      </w:pP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24"/>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24"/>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5" w:name="fig-natur"/>
          <w:p>
            <w:pPr>
              <w:pStyle w:val="Compact"/>
              <w:jc w:val="center"/>
            </w:pPr>
            <w:r>
              <w:drawing>
                <wp:inline>
                  <wp:extent cx="2857500" cy="2857500"/>
                  <wp:effectExtent b="0" l="0" r="0" t="0"/>
                  <wp:docPr descr="" title="" id="103" name="Picture"/>
                  <a:graphic>
                    <a:graphicData uri="http://schemas.openxmlformats.org/drawingml/2006/picture">
                      <pic:pic>
                        <pic:nvPicPr>
                          <pic:cNvPr descr="pics/C2/2questions.png" id="104"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5"/>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8"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 We get a quick overview of</w:t>
      </w:r>
      <w:r>
        <w:t xml:space="preserve"> </w:t>
      </w:r>
      <w:r>
        <w:t xml:space="preserve">“what the data looks like,”</w:t>
      </w:r>
      <w:r>
        <w:t xml:space="preserve"> </w:t>
      </w:r>
      <w:r>
        <w:t xml:space="preserve">which helps us make more informed decisions about which advanced methods to use and how to interpret subsequent analyses.</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9" w:name="fig-c2-histex"/>
          <w:p>
            <w:pPr>
              <w:pStyle w:val="Compact"/>
              <w:jc w:val="center"/>
            </w:pPr>
            <w:r>
              <w:drawing>
                <wp:inline>
                  <wp:extent cx="4114800" cy="2400300"/>
                  <wp:effectExtent b="0" l="0" r="0" t="0"/>
                  <wp:docPr descr="" title="" id="107" name="Picture"/>
                  <a:graphic>
                    <a:graphicData uri="http://schemas.openxmlformats.org/drawingml/2006/picture">
                      <pic:pic>
                        <pic:nvPicPr>
                          <pic:cNvPr descr="datapatterns_files/figure-docx/fig-c2-histex-1.svg" id="1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w:t>
            </w:r>
          </w:p>
          <w:bookmarkEnd w:id="109"/>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w:t>
      </w:r>
      <w:r>
        <w:t xml:space="preserve"> </w:t>
      </w:r>
      <w:hyperlink w:anchor="sec-stats">
        <w:r>
          <w:rPr>
            <w:rStyle w:val="Hyperlink"/>
          </w:rPr>
          <w:t xml:space="preserve">Section 3.5.3</w:t>
        </w:r>
      </w:hyperlink>
      <w:r>
        <w:t xml:space="preserve">).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"#CC0000"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"#CC0000"</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3" w:name="fig-c2-bellcurve"/>
          <w:p>
            <w:pPr>
              <w:pStyle w:val="Compact"/>
              <w:jc w:val="center"/>
            </w:pPr>
            <w:r>
              <w:drawing>
                <wp:inline>
                  <wp:extent cx="4114800" cy="2400300"/>
                  <wp:effectExtent b="0" l="0" r="0" t="0"/>
                  <wp:docPr descr="" title="" id="111" name="Picture"/>
                  <a:graphic>
                    <a:graphicData uri="http://schemas.openxmlformats.org/drawingml/2006/picture">
                      <pic:pic>
                        <pic:nvPicPr>
                          <pic:cNvPr descr="datapatterns_files/figure-docx/fig-c2-bellcurve-1.svg" id="1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w:t>
            </w:r>
          </w:p>
          <w:bookmarkEnd w:id="113"/>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"#343A41"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"#3082BD"</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"#CC0000"</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7" w:name="fig-c2-boxplot"/>
          <w:p>
            <w:pPr>
              <w:pStyle w:val="Compact"/>
              <w:jc w:val="center"/>
            </w:pPr>
            <w:r>
              <w:drawing>
                <wp:inline>
                  <wp:extent cx="3429000" cy="2400300"/>
                  <wp:effectExtent b="0" l="0" r="0" t="0"/>
                  <wp:docPr descr="" title="" id="115" name="Picture"/>
                  <a:graphic>
                    <a:graphicData uri="http://schemas.openxmlformats.org/drawingml/2006/picture">
                      <pic:pic>
                        <pic:nvPicPr>
                          <pic:cNvPr descr="datapatterns_files/figure-docx/fig-c2-boxplot-1.svg" id="1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 plot</w:t>
            </w:r>
          </w:p>
          <w:bookmarkEnd w:id="117"/>
        </w:tc>
      </w:tr>
    </w:tbl>
    <w:p>
      <w:pPr>
        <w:numPr>
          <w:ilvl w:val="0"/>
          <w:numId w:val="1025"/>
        </w:numPr>
      </w:pPr>
      <w:r>
        <w:t xml:space="preserve">The box (IQR): The rectangular box captures the middle 50% of the data - what’s called the interquartile range (IQR, see</w:t>
      </w:r>
      <w:r>
        <w:t xml:space="preserve"> </w:t>
      </w:r>
      <w:hyperlink w:anchor="sec-outlier">
        <w:r>
          <w:rPr>
            <w:rStyle w:val="Hyperlink"/>
          </w:rPr>
          <w:t xml:space="preserve">Section 3.5.3.1.4</w:t>
        </w:r>
      </w:hyperlink>
      <w:r>
        <w:t xml:space="preserve">). In this chart, the bottom edge of the box is at 40, which is the 25th percentile (Q1), and the top edge is at 57, the 75th percentile (Q3). Because this box is reasonably large, it indicates there’s a moderate spread among the</w:t>
      </w:r>
      <w:r>
        <w:t xml:space="preserve"> </w:t>
      </w:r>
      <w:r>
        <w:t xml:space="preserve">“central”</w:t>
      </w:r>
      <w:r>
        <w:t xml:space="preserve"> </w:t>
      </w:r>
      <w:r>
        <w:t xml:space="preserve">half of the data (from ages 40 to 57).</w:t>
      </w:r>
    </w:p>
    <w:p>
      <w:pPr>
        <w:numPr>
          <w:ilvl w:val="0"/>
          <w:numId w:val="1025"/>
        </w:numPr>
      </w:pPr>
      <w:r>
        <w:t xml:space="preserve">Median line: The horizontal line inside the box is the median (Q2). Here, it sits at 49, roughly halfway between 40 and 57. Because the median is fairly centered between Q1 and Q3, we can see the central 50% of ages is split somewhat evenly above and below 49.</w:t>
      </w:r>
    </w:p>
    <w:p>
      <w:pPr>
        <w:numPr>
          <w:ilvl w:val="0"/>
          <w:numId w:val="1025"/>
        </w:numPr>
      </w:pPr>
      <w:r>
        <w:t xml:space="preserve">Whiskers: The</w:t>
      </w:r>
      <w:r>
        <w:t xml:space="preserve"> </w:t>
      </w:r>
      <w:r>
        <w:t xml:space="preserve">“whiskers”</w:t>
      </w:r>
      <w:r>
        <w:t xml:space="preserve"> </w:t>
      </w:r>
      <w:r>
        <w:t xml:space="preserve">are those lines extending above and below the box to show the minimum and maximum values that still fall within a typical cut-off (often 1.5 × IQR). In the figure, the lower whisker extends down to 22; the upper whisker extends up to 72. That means any data points above 72 or below 22 are treated as outliers (if they exist).</w:t>
      </w:r>
    </w:p>
    <w:p>
      <w:pPr>
        <w:numPr>
          <w:ilvl w:val="0"/>
          <w:numId w:val="1025"/>
        </w:numPr>
      </w:pPr>
      <w:r>
        <w:t xml:space="preserve">Outliers: Any data point lying outside these whisker boundaries is plotted individually - often as a separate dot or symbol. In this example, there is a single red dot at 13, clearly below the lower whisker. This dot is considered an outlier, meaning it sits well below the rest of the dataset.</w:t>
      </w:r>
    </w:p>
    <w:p>
      <w:pPr>
        <w:numPr>
          <w:ilvl w:val="0"/>
          <w:numId w:val="1025"/>
        </w:numPr>
      </w:pPr>
      <w:r>
        <w:t xml:space="preserve">Possible interpretations: The presence of this outlier at age 13 could be a legitimate value (e.g., an unusual case in your data) or might be a simple data entry error. Seeing only one lower outlier suggests that most ages cluster within 22 to 72, which you might interpret as a reasonably</w:t>
      </w:r>
      <w:r>
        <w:t xml:space="preserve"> </w:t>
      </w:r>
      <w:r>
        <w:t xml:space="preserve">“normal”</w:t>
      </w:r>
      <w:r>
        <w:t xml:space="preserve"> </w:t>
      </w:r>
      <w:r>
        <w:t xml:space="preserve">spread for a particular adult population - aside from that lone point at 13.</w:t>
      </w:r>
    </w:p>
    <w:bookmarkEnd w:id="118"/>
    <w:bookmarkStart w:id="127" w:name="relative-proportions"/>
    <w:p>
      <w:pPr>
        <w:pStyle w:val="Heading4"/>
      </w:pPr>
      <w:r>
        <w:t xml:space="preserve">3.5.2.2 Relative proportions</w:t>
      </w:r>
    </w:p>
    <w:p>
      <w:pPr>
        <w:pStyle w:val="FirstParagraph"/>
      </w:pPr>
      <w:r>
        <w:t xml:space="preserve">Proportions refer to the comparison of data between different groups or categories, and involve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displays categorical data in a circle divided into slices, each slice representing a portion of the whole. The entire circle equals 100% of the data, and each slice’s size corresponds to its category’s share. Pie charts are useful for quickly comparing the relative sizes of categories and spotting the largest or smallest groups.</w:t>
      </w:r>
    </w:p>
    <w:p>
      <w:pPr>
        <w:pStyle w:val="SourceCode"/>
      </w:pPr>
      <w:r>
        <w:rPr>
          <w:rStyle w:val="NormalTok"/>
        </w:rPr>
        <w:t xml:space="preserve">breaks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w:t>
      </w:r>
      <w:r>
        <w:br/>
      </w:r>
      <w:r>
        <w:rPr>
          <w:rStyle w:val="NormalTok"/>
        </w:rPr>
        <w:t xml:space="preserve">labels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w:t>
      </w:r>
      <w:r>
        <w:rPr>
          <w:rStyle w:val="NormalTok"/>
        </w:rPr>
        <w:t xml:space="preserve">, </w:t>
      </w:r>
      <w:r>
        <w:rPr>
          <w:rStyle w:val="FunctionTok"/>
        </w:rPr>
        <w:t xml:space="preserve">head</w:t>
      </w:r>
      <w:r>
        <w:rPr>
          <w:rStyle w:val="NormalTok"/>
        </w:rPr>
        <w:t xml:space="preserve">(breaks, </w:t>
      </w:r>
      <w:r>
        <w:rPr>
          <w:rStyle w:val="SpecialCharTok"/>
        </w:rPr>
        <w:t xml:space="preserve">-</w:t>
      </w:r>
      <w:r>
        <w:rPr>
          <w:rStyle w:val="DecValTok"/>
        </w:rPr>
        <w:t xml:space="preserve">1</w:t>
      </w:r>
      <w:r>
        <w:rPr>
          <w:rStyle w:val="NormalTok"/>
        </w:rPr>
        <w:t xml:space="preserve">), </w:t>
      </w:r>
      <w:r>
        <w:rPr>
          <w:rStyle w:val="StringTok"/>
        </w:rPr>
        <w:t xml:space="preserve">", "</w:t>
      </w:r>
      <w:r>
        <w:rPr>
          <w:rStyle w:val="NormalTok"/>
        </w:rPr>
        <w:t xml:space="preserve">, </w:t>
      </w:r>
      <w:r>
        <w:rPr>
          <w:rStyle w:val="FunctionTok"/>
        </w:rPr>
        <w:t xml:space="preserve">tail</w:t>
      </w:r>
      <w:r>
        <w:rPr>
          <w:rStyle w:val="NormalTok"/>
        </w:rPr>
        <w:t xml:space="preserve">(breaks, </w:t>
      </w:r>
      <w:r>
        <w:rPr>
          <w:rStyle w:val="SpecialCharTok"/>
        </w:rPr>
        <w:t xml:space="preserve">-</w:t>
      </w:r>
      <w:r>
        <w:rPr>
          <w:rStyle w:val="DecValTok"/>
        </w:rPr>
        <w:t xml:space="preserve">1</w:t>
      </w:r>
      <w:r>
        <w:rPr>
          <w:rStyle w:val="NormalTok"/>
        </w:rPr>
        <w:t xml:space="preserve">), </w:t>
      </w:r>
      <w:r>
        <w:rPr>
          <w:rStyle w:val="StringTok"/>
        </w:rPr>
        <w:t xml:space="preserve">")"</w:t>
      </w:r>
      <w:r>
        <w:rPr>
          <w:rStyle w:val="NormalTok"/>
        </w:rPr>
        <w:t xml:space="preserve">)</w:t>
      </w:r>
      <w:r>
        <w:br/>
      </w:r>
      <w:r>
        <w:br/>
      </w:r>
      <w:r>
        <w:rPr>
          <w:rStyle w:val="CommentTok"/>
        </w:rPr>
        <w:t xml:space="preserve"># Use cut with custom labels</w:t>
      </w:r>
      <w:r>
        <w:br/>
      </w: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AttributeTok"/>
        </w:rPr>
        <w:t xml:space="preserve">breaks =</w:t>
      </w:r>
      <w:r>
        <w:rPr>
          <w:rStyle w:val="NormalTok"/>
        </w:rPr>
        <w:t xml:space="preserve"> breaks, </w:t>
      </w:r>
      <w:r>
        <w:rPr>
          <w:rStyle w:val="AttributeTok"/>
        </w:rPr>
        <w:t xml:space="preserve">labels =</w:t>
      </w:r>
      <w:r>
        <w:rPr>
          <w:rStyle w:val="NormalTok"/>
        </w:rPr>
        <w:t xml:space="preserve"> labels,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2" w:name="fig-c2-piechart"/>
          <w:p>
            <w:pPr>
              <w:pStyle w:val="Compact"/>
              <w:jc w:val="center"/>
            </w:pPr>
            <w:r>
              <w:drawing>
                <wp:inline>
                  <wp:extent cx="3429000" cy="2400300"/>
                  <wp:effectExtent b="0" l="0" r="0" t="0"/>
                  <wp:docPr descr="" title="" id="120" name="Picture"/>
                  <a:graphic>
                    <a:graphicData uri="http://schemas.openxmlformats.org/drawingml/2006/picture">
                      <pic:pic>
                        <pic:nvPicPr>
                          <pic:cNvPr descr="datapatterns_files/figure-docx/fig-c2-piechart-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 chart</w:t>
            </w:r>
          </w:p>
          <w:bookmarkEnd w:id="122"/>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w:t>
      </w:r>
      <w:r>
        <w:rPr>
          <w:rStyle w:val="NormalTok"/>
        </w:rPr>
        <w:t xml:space="preserve">, </w:t>
      </w:r>
      <w:r>
        <w:rPr>
          <w:rStyle w:val="StringTok"/>
        </w:rPr>
        <w:t xml:space="preserve">"Influencer"</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w:t>
      </w:r>
      <w:r>
        <w:rPr>
          <w:rStyle w:val="AttributeTok"/>
        </w:rPr>
        <w:t xml:space="preserve">prefix =</w:t>
      </w:r>
      <w:r>
        <w:rPr>
          <w:rStyle w:val="NormalTok"/>
        </w:rPr>
        <w:t xml:space="preserve"> </w:t>
      </w:r>
      <w:r>
        <w:rPr>
          <w:rStyle w:val="StringTok"/>
        </w:rPr>
        <w:t xml:space="preserve">"€"</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6" w:name="fig-c2-treemap"/>
          <w:p>
            <w:pPr>
              <w:pStyle w:val="Compact"/>
              <w:jc w:val="center"/>
            </w:pPr>
            <w:r>
              <w:drawing>
                <wp:inline>
                  <wp:extent cx="3429000" cy="2400300"/>
                  <wp:effectExtent b="0" l="0" r="0" t="0"/>
                  <wp:docPr descr="" title="" id="124" name="Picture"/>
                  <a:graphic>
                    <a:graphicData uri="http://schemas.openxmlformats.org/drawingml/2006/picture">
                      <pic:pic>
                        <pic:nvPicPr>
                          <pic:cNvPr descr="datapatterns_files/figure-docx/fig-c2-treemap-1.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w:t>
            </w:r>
          </w:p>
          <w:bookmarkEnd w:id="126"/>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7"/>
    <w:bookmarkStart w:id="136"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vertical orientation, with the latter usually called a column chart (see also</w:t>
      </w:r>
      <w:r>
        <w:t xml:space="preserve"> </w:t>
      </w:r>
      <w:hyperlink w:anchor="sec-change">
        <w:r>
          <w:rPr>
            <w:rStyle w:val="Hyperlink"/>
          </w:rPr>
          <w:t xml:space="preserve">Section 3.5.2.5</w:t>
        </w:r>
      </w:hyperlink>
      <w:r>
        <w:t xml:space="preserve">).</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"ok"</w:t>
      </w:r>
      <w:r>
        <w:rPr>
          <w:rStyle w:val="NormalTok"/>
        </w:rPr>
        <w:t xml:space="preserve"> </w:t>
      </w:r>
      <w:r>
        <w:rPr>
          <w:rStyle w:val="OtherTok"/>
        </w:rPr>
        <w:t xml:space="preserve">=</w:t>
      </w:r>
      <w:r>
        <w:rPr>
          <w:rStyle w:val="NormalTok"/>
        </w:rPr>
        <w:t xml:space="preserve"> </w:t>
      </w:r>
      <w:r>
        <w:rPr>
          <w:rStyle w:val="StringTok"/>
        </w:rPr>
        <w:t xml:space="preserve">"#3082BD"</w:t>
      </w:r>
      <w:r>
        <w:rPr>
          <w:rStyle w:val="NormalTok"/>
        </w:rPr>
        <w:t xml:space="preserve">, </w:t>
      </w:r>
      <w:r>
        <w:rPr>
          <w:rStyle w:val="StringTok"/>
        </w:rPr>
        <w:t xml:space="preserve">"bad"</w:t>
      </w:r>
      <w:r>
        <w:rPr>
          <w:rStyle w:val="NormalTok"/>
        </w:rPr>
        <w:t xml:space="preserve"> </w:t>
      </w:r>
      <w:r>
        <w:rPr>
          <w:rStyle w:val="OtherTok"/>
        </w:rPr>
        <w:t xml:space="preserve">=</w:t>
      </w:r>
      <w:r>
        <w:rPr>
          <w:rStyle w:val="NormalTok"/>
        </w:rPr>
        <w:t xml:space="preserve"> </w:t>
      </w:r>
      <w:r>
        <w:rPr>
          <w:rStyle w:val="StringTok"/>
        </w:rPr>
        <w:t xml:space="preserve">"#CC0000"</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AttributeTok"/>
        </w:rPr>
        <w:t xml:space="preserve">family=</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1" w:name="fig-c2-barchart"/>
          <w:p>
            <w:pPr>
              <w:pStyle w:val="Compact"/>
              <w:jc w:val="center"/>
            </w:pPr>
            <w:r>
              <w:drawing>
                <wp:inline>
                  <wp:extent cx="3429000" cy="2400300"/>
                  <wp:effectExtent b="0" l="0" r="0" t="0"/>
                  <wp:docPr descr="" title="" id="129" name="Picture"/>
                  <a:graphic>
                    <a:graphicData uri="http://schemas.openxmlformats.org/drawingml/2006/picture">
                      <pic:pic>
                        <pic:nvPicPr>
                          <pic:cNvPr descr="datapatterns_files/figure-docx/fig-c2-barchart-1.svg" id="1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 chart</w:t>
            </w:r>
          </w:p>
          <w:bookmarkEnd w:id="131"/>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obvious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"#9ECAE2"</w:t>
      </w:r>
      <w:r>
        <w:rPr>
          <w:rStyle w:val="NormalTok"/>
        </w:rPr>
        <w:t xml:space="preserve">, </w:t>
      </w:r>
      <w:r>
        <w:rPr>
          <w:rStyle w:val="StringTok"/>
        </w:rPr>
        <w:t xml:space="preserve">"#07306B"</w:t>
      </w:r>
      <w:r>
        <w:rPr>
          <w:rStyle w:val="NormalTok"/>
        </w:rPr>
        <w:t xml:space="preserve">, </w:t>
      </w:r>
      <w:r>
        <w:rPr>
          <w:rStyle w:val="StringTok"/>
        </w:rPr>
        <w:t xml:space="preserve">"#3082BD"</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  </w:t>
      </w:r>
      <w:r>
        <w:rPr>
          <w:rStyle w:val="AttributeTok"/>
        </w:rPr>
        <w:t xml:space="preserve">legend.text.size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axis.label.size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grid.label.size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font.radar =</w:t>
      </w:r>
      <w:r>
        <w:rPr>
          <w:rStyle w:val="NormalTok"/>
        </w:rPr>
        <w:t xml:space="preserve"> </w:t>
      </w:r>
      <w:r>
        <w:rPr>
          <w:rStyle w:val="StringTok"/>
        </w:rPr>
        <w:t xml:space="preserve">"Roboto"</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5" w:name="fig-c2-radarchart"/>
          <w:p>
            <w:pPr>
              <w:pStyle w:val="Compact"/>
              <w:jc w:val="center"/>
            </w:pPr>
            <w:r>
              <w:drawing>
                <wp:inline>
                  <wp:extent cx="5334000" cy="3333750"/>
                  <wp:effectExtent b="0" l="0" r="0" t="0"/>
                  <wp:docPr descr="" title="" id="133" name="Picture"/>
                  <a:graphic>
                    <a:graphicData uri="http://schemas.openxmlformats.org/drawingml/2006/picture">
                      <pic:pic>
                        <pic:nvPicPr>
                          <pic:cNvPr descr="datapatterns_files/figure-docx/fig-c2-radarchart-1.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 chart</w:t>
            </w:r>
          </w:p>
          <w:bookmarkEnd w:id="135"/>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order may provide a signal for you to review the quality of the data (see also</w:t>
      </w:r>
      <w:r>
        <w:t xml:space="preserve"> </w:t>
      </w:r>
      <w:hyperlink w:anchor="sec-chall">
        <w:r>
          <w:rPr>
            <w:rStyle w:val="Hyperlink"/>
          </w:rPr>
          <w:t xml:space="preserve">Section 3.6</w:t>
        </w:r>
      </w:hyperlink>
      <w:r>
        <w:t xml:space="preserve">).</w:t>
      </w:r>
    </w:p>
    <w:bookmarkEnd w:id="136"/>
    <w:bookmarkStart w:id="145"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tbl>
      <w:tblPr>
        <w:tblStyle w:val="Table"/>
        <w:tblW w:type="pct" w:w="5000"/>
        <w:tblLayout w:type="fixed"/>
        <w:tblLook w:firstRow="0" w:lastRow="0" w:firstColumn="0" w:lastColumn="0" w:noHBand="0" w:noVBand="0" w:val="0000"/>
      </w:tblPr>
      <w:tblGrid>
        <w:gridCol w:w="7920"/>
      </w:tblGrid>
      <w:tr>
        <w:tc>
          <w:tcPr/>
          <w:bookmarkStart w:id="140" w:name="fig-c2-radar-static"/>
          <w:p>
            <w:pPr>
              <w:pStyle w:val="Compact"/>
              <w:jc w:val="center"/>
            </w:pPr>
            <w:r>
              <w:drawing>
                <wp:inline>
                  <wp:extent cx="5334000" cy="2881972"/>
                  <wp:effectExtent b="0" l="0" r="0" t="0"/>
                  <wp:docPr descr="" title="" id="138" name="Picture"/>
                  <a:graphic>
                    <a:graphicData uri="http://schemas.openxmlformats.org/drawingml/2006/picture">
                      <pic:pic>
                        <pic:nvPicPr>
                          <pic:cNvPr descr="pics/C2/bubblechart.png" id="139" name="Picture"/>
                          <pic:cNvPicPr>
                            <a:picLocks noChangeArrowheads="1" noChangeAspect="1"/>
                          </pic:cNvPicPr>
                        </pic:nvPicPr>
                        <pic:blipFill>
                          <a:blip r:embed="rId137"/>
                          <a:stretch>
                            <a:fillRect/>
                          </a:stretch>
                        </pic:blipFill>
                        <pic:spPr bwMode="auto">
                          <a:xfrm>
                            <a:off x="0" y="0"/>
                            <a:ext cx="5334000" cy="2881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Bubble chart</w:t>
            </w:r>
          </w:p>
          <w:bookmarkEnd w:id="140"/>
        </w:tc>
      </w:tr>
    </w:tbl>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tbl>
      <w:tblPr>
        <w:tblStyle w:val="Table"/>
        <w:tblW w:type="pct" w:w="5000"/>
        <w:tblLayout w:type="fixed"/>
        <w:tblLook w:firstRow="0" w:lastRow="0" w:firstColumn="0" w:lastColumn="0" w:noHBand="0" w:noVBand="0" w:val="0000"/>
      </w:tblPr>
      <w:tblGrid>
        <w:gridCol w:w="7920"/>
      </w:tblGrid>
      <w:tr>
        <w:tc>
          <w:tcPr/>
          <w:bookmarkStart w:id="144" w:name="fig-c2-radar-static"/>
          <w:p>
            <w:pPr>
              <w:pStyle w:val="Compact"/>
              <w:jc w:val="center"/>
            </w:pPr>
            <w:r>
              <w:drawing>
                <wp:inline>
                  <wp:extent cx="5334000" cy="2620536"/>
                  <wp:effectExtent b="0" l="0" r="0" t="0"/>
                  <wp:docPr descr="" title="" id="142" name="Picture"/>
                  <a:graphic>
                    <a:graphicData uri="http://schemas.openxmlformats.org/drawingml/2006/picture">
                      <pic:pic>
                        <pic:nvPicPr>
                          <pic:cNvPr descr="pics/C2/scattercluster.png" id="143" name="Picture"/>
                          <pic:cNvPicPr>
                            <a:picLocks noChangeArrowheads="1" noChangeAspect="1"/>
                          </pic:cNvPicPr>
                        </pic:nvPicPr>
                        <pic:blipFill>
                          <a:blip r:embed="rId141"/>
                          <a:stretch>
                            <a:fillRect/>
                          </a:stretch>
                        </pic:blipFill>
                        <pic:spPr bwMode="auto">
                          <a:xfrm>
                            <a:off x="0" y="0"/>
                            <a:ext cx="5334000" cy="26205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Scatter plot</w:t>
            </w:r>
          </w:p>
          <w:bookmarkEnd w:id="144"/>
        </w:tc>
      </w:tr>
    </w:tbl>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5"/>
    <w:bookmarkStart w:id="154" w:name="sec-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tbl>
      <w:tblPr>
        <w:tblStyle w:val="Table"/>
        <w:tblW w:type="pct" w:w="5000"/>
        <w:tblLayout w:type="fixed"/>
        <w:tblLook w:firstRow="0" w:lastRow="0" w:firstColumn="0" w:lastColumn="0" w:noHBand="0" w:noVBand="0" w:val="0000"/>
      </w:tblPr>
      <w:tblGrid>
        <w:gridCol w:w="7920"/>
      </w:tblGrid>
      <w:tr>
        <w:tc>
          <w:tcPr/>
          <w:bookmarkStart w:id="149" w:name="fig-c2-radar-static"/>
          <w:p>
            <w:pPr>
              <w:pStyle w:val="Compact"/>
              <w:jc w:val="center"/>
            </w:pPr>
            <w:r>
              <w:drawing>
                <wp:inline>
                  <wp:extent cx="5334000" cy="3184277"/>
                  <wp:effectExtent b="0" l="0" r="0" t="0"/>
                  <wp:docPr descr="" title="" id="147" name="Picture"/>
                  <a:graphic>
                    <a:graphicData uri="http://schemas.openxmlformats.org/drawingml/2006/picture">
                      <pic:pic>
                        <pic:nvPicPr>
                          <pic:cNvPr descr="pics/C2/line.png" id="148" name="Picture"/>
                          <pic:cNvPicPr>
                            <a:picLocks noChangeArrowheads="1" noChangeAspect="1"/>
                          </pic:cNvPicPr>
                        </pic:nvPicPr>
                        <pic:blipFill>
                          <a:blip r:embed="rId146"/>
                          <a:stretch>
                            <a:fillRect/>
                          </a:stretch>
                        </pic:blipFill>
                        <pic:spPr bwMode="auto">
                          <a:xfrm>
                            <a:off x="0" y="0"/>
                            <a:ext cx="5334000" cy="31842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Line graph</w:t>
            </w:r>
          </w:p>
          <w:bookmarkEnd w:id="149"/>
        </w:tc>
      </w:tr>
    </w:tbl>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tbl>
      <w:tblPr>
        <w:tblStyle w:val="Table"/>
        <w:tblW w:type="pct" w:w="5000"/>
        <w:tblLayout w:type="fixed"/>
        <w:tblLook w:firstRow="0" w:lastRow="0" w:firstColumn="0" w:lastColumn="0" w:noHBand="0" w:noVBand="0" w:val="0000"/>
      </w:tblPr>
      <w:tblGrid>
        <w:gridCol w:w="7920"/>
      </w:tblGrid>
      <w:tr>
        <w:tc>
          <w:tcPr/>
          <w:bookmarkStart w:id="153" w:name="fig-c2-radar-static"/>
          <w:p>
            <w:pPr>
              <w:pStyle w:val="Compact"/>
              <w:jc w:val="center"/>
            </w:pPr>
            <w:r>
              <w:drawing>
                <wp:inline>
                  <wp:extent cx="5334000" cy="2710831"/>
                  <wp:effectExtent b="0" l="0" r="0" t="0"/>
                  <wp:docPr descr="" title="" id="151" name="Picture"/>
                  <a:graphic>
                    <a:graphicData uri="http://schemas.openxmlformats.org/drawingml/2006/picture">
                      <pic:pic>
                        <pic:nvPicPr>
                          <pic:cNvPr descr="pics/C2/columnchart.png" id="152" name="Picture"/>
                          <pic:cNvPicPr>
                            <a:picLocks noChangeArrowheads="1" noChangeAspect="1"/>
                          </pic:cNvPicPr>
                        </pic:nvPicPr>
                        <pic:blipFill>
                          <a:blip r:embed="rId150"/>
                          <a:stretch>
                            <a:fillRect/>
                          </a:stretch>
                        </pic:blipFill>
                        <pic:spPr bwMode="auto">
                          <a:xfrm>
                            <a:off x="0" y="0"/>
                            <a:ext cx="5334000" cy="27108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Column chart</w:t>
            </w:r>
          </w:p>
          <w:bookmarkEnd w:id="153"/>
        </w:tc>
      </w:tr>
    </w:tbl>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54"/>
    <w:bookmarkStart w:id="163"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tbl>
      <w:tblPr>
        <w:tblStyle w:val="Table"/>
        <w:tblW w:type="pct" w:w="5000"/>
        <w:tblLayout w:type="fixed"/>
        <w:tblLook w:firstRow="0" w:lastRow="0" w:firstColumn="0" w:lastColumn="0" w:noHBand="0" w:noVBand="0" w:val="0000"/>
      </w:tblPr>
      <w:tblGrid>
        <w:gridCol w:w="7920"/>
      </w:tblGrid>
      <w:tr>
        <w:tc>
          <w:tcPr/>
          <w:bookmarkStart w:id="158" w:name="fig-c2-radar-static"/>
          <w:p>
            <w:pPr>
              <w:pStyle w:val="Compact"/>
              <w:jc w:val="center"/>
            </w:pPr>
            <w:r>
              <w:drawing>
                <wp:inline>
                  <wp:extent cx="5334000" cy="2986019"/>
                  <wp:effectExtent b="0" l="0" r="0" t="0"/>
                  <wp:docPr descr="" title="" id="156" name="Picture"/>
                  <a:graphic>
                    <a:graphicData uri="http://schemas.openxmlformats.org/drawingml/2006/picture">
                      <pic:pic>
                        <pic:nvPicPr>
                          <pic:cNvPr descr="pics/C2/corrscp2.png" id="157" name="Picture"/>
                          <pic:cNvPicPr>
                            <a:picLocks noChangeArrowheads="1" noChangeAspect="1"/>
                          </pic:cNvPicPr>
                        </pic:nvPicPr>
                        <pic:blipFill>
                          <a:blip r:embed="rId155"/>
                          <a:stretch>
                            <a:fillRect/>
                          </a:stretch>
                        </pic:blipFill>
                        <pic:spPr bwMode="auto">
                          <a:xfrm>
                            <a:off x="0" y="0"/>
                            <a:ext cx="5334000" cy="29860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Scatter plot</w:t>
            </w:r>
          </w:p>
          <w:bookmarkEnd w:id="1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2" w:name="fig-c2-radar-static"/>
          <w:p>
            <w:pPr>
              <w:pStyle w:val="Compact"/>
              <w:jc w:val="center"/>
            </w:pPr>
            <w:r>
              <w:drawing>
                <wp:inline>
                  <wp:extent cx="5334000" cy="3032104"/>
                  <wp:effectExtent b="0" l="0" r="0" t="0"/>
                  <wp:docPr descr="" title="" id="160" name="Picture"/>
                  <a:graphic>
                    <a:graphicData uri="http://schemas.openxmlformats.org/drawingml/2006/picture">
                      <pic:pic>
                        <pic:nvPicPr>
                          <pic:cNvPr descr="pics/C2/corrscp1.png" id="161" name="Picture"/>
                          <pic:cNvPicPr>
                            <a:picLocks noChangeArrowheads="1" noChangeAspect="1"/>
                          </pic:cNvPicPr>
                        </pic:nvPicPr>
                        <pic:blipFill>
                          <a:blip r:embed="rId159"/>
                          <a:stretch>
                            <a:fillRect/>
                          </a:stretch>
                        </pic:blipFill>
                        <pic:spPr bwMode="auto">
                          <a:xfrm>
                            <a:off x="0" y="0"/>
                            <a:ext cx="5334000" cy="30321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Scatter plot</w:t>
            </w:r>
          </w:p>
          <w:bookmarkEnd w:id="162"/>
        </w:tc>
      </w:tr>
    </w:tbl>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63"/>
    <w:bookmarkEnd w:id="164"/>
    <w:bookmarkStart w:id="183" w:name="sec-stats"/>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a great approach to start the analysis process, eventually we also want to</w:t>
      </w:r>
      <w:r>
        <w:t xml:space="preserve"> </w:t>
      </w:r>
      <w:r>
        <w:t xml:space="preserve">“crunch”</w:t>
      </w:r>
      <w:r>
        <w:t xml:space="preserve"> </w:t>
      </w:r>
      <w:r>
        <w:t xml:space="preserve">the numbers.</w:t>
      </w:r>
    </w:p>
    <w:bookmarkStart w:id="177" w:name="descriptive-statistics"/>
    <w:p>
      <w:pPr>
        <w:pStyle w:val="Heading4"/>
      </w:pPr>
      <w:r>
        <w:t xml:space="preserve">3.5.3.1 Descriptive statistics</w:t>
      </w:r>
    </w:p>
    <w:bookmarkStart w:id="165"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p>
    <w:p>
      <w:pPr>
        <w:pStyle w:val="BodyText"/>
      </w:pPr>
      <w:r>
        <w:t xml:space="preserve">Their practical relevance comes from how they help decision-makers quickly review typical outcomes and compare different groups, for example:</w:t>
      </w:r>
    </w:p>
    <w:p>
      <w:pPr>
        <w:pStyle w:val="Compact"/>
        <w:numPr>
          <w:ilvl w:val="0"/>
          <w:numId w:val="1026"/>
        </w:numPr>
      </w:pPr>
      <w:r>
        <w:t xml:space="preserve">Resource allocation: A company might use average (mean) sales figures to forecast inventory needs, staff scheduling, or budget allocations. When the mean shifts, it signals a change in the overall sales level.</w:t>
      </w:r>
    </w:p>
    <w:p>
      <w:pPr>
        <w:pStyle w:val="Compact"/>
        <w:numPr>
          <w:ilvl w:val="0"/>
          <w:numId w:val="1026"/>
        </w:numPr>
      </w:pPr>
      <w:r>
        <w:t xml:space="preserve">Benchmarking and targets: The median is useful for setting realistic performance goals. For instance, if the median time to resolve a customer complaint is 10 minutes, managers can target reducing that to 8 minutes for half of all complaints.</w:t>
      </w:r>
    </w:p>
    <w:p>
      <w:pPr>
        <w:pStyle w:val="Compact"/>
        <w:numPr>
          <w:ilvl w:val="0"/>
          <w:numId w:val="1026"/>
        </w:numPr>
      </w:pPr>
      <w:r>
        <w:t xml:space="preserve">Customer segmentation and pricing: The mode (most frequent value) can identify common consumer purchase sizes or price points. Companies can tailor product bundles or promotional strategies around those</w:t>
      </w:r>
      <w:r>
        <w:t xml:space="preserve"> </w:t>
      </w:r>
      <w:r>
        <w:t xml:space="preserve">“popular”</w:t>
      </w:r>
      <w:r>
        <w:t xml:space="preserve"> </w:t>
      </w:r>
      <w:r>
        <w:t xml:space="preserve">values.</w:t>
      </w:r>
    </w:p>
    <w:p>
      <w:pPr>
        <w:pStyle w:val="Compact"/>
        <w:numPr>
          <w:ilvl w:val="0"/>
          <w:numId w:val="1026"/>
        </w:numPr>
      </w:pPr>
      <w:r>
        <w:t xml:space="preserve">Comparison across categories: Whether reviewing different teams, product lines, or regional markets, a quick view at central tendencies reveals which group stands out or underperforms, prompting further analysis.</w:t>
      </w:r>
    </w:p>
    <w:p>
      <w:pPr>
        <w:pStyle w:val="FirstParagraph"/>
      </w:pPr>
      <w:r>
        <w:t xml:space="preserve">By summarizing a dataset in a single number, measures of central tendency give a fast, high-level understanding, guiding more in-depth analysis and informing business actions such as budgeting, staffing, marketing adjustments, etc.</w:t>
      </w:r>
    </w:p>
    <w:bookmarkEnd w:id="165"/>
    <w:bookmarkStart w:id="166"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p>
    <w:p>
      <w:pPr>
        <w:pStyle w:val="BodyText"/>
      </w:pPr>
      <w:r>
        <w:t xml:space="preserve">Measures of variation (range, variance, standard deviation) do more than just describe data spread; they have practical relevance for data-driven decision-making:</w:t>
      </w:r>
    </w:p>
    <w:p>
      <w:pPr>
        <w:numPr>
          <w:ilvl w:val="0"/>
          <w:numId w:val="1027"/>
        </w:numPr>
      </w:pPr>
      <w:r>
        <w:t xml:space="preserve">Risk and uncertainty: A high variance or standard deviation in sales forecasts, for example, alerts you to potential volatility. This helps a business decide whether to keep a buffer of inventory, expand safety stock, or take out insurance on price fluctuations.</w:t>
      </w:r>
    </w:p>
    <w:p>
      <w:pPr>
        <w:numPr>
          <w:ilvl w:val="0"/>
          <w:numId w:val="1027"/>
        </w:numPr>
      </w:pPr>
      <w:r>
        <w:t xml:space="preserve">Reliability of averages: If the mean is 50 but the standard deviation is large, it means your data values are scattered widely around that mean. A</w:t>
      </w:r>
      <w:r>
        <w:t xml:space="preserve"> </w:t>
      </w:r>
      <w:r>
        <w:t xml:space="preserve">“typical”</w:t>
      </w:r>
      <w:r>
        <w:t xml:space="preserve"> </w:t>
      </w:r>
      <w:r>
        <w:t xml:space="preserve">value is then less representative. Managers can’t blindly rely on the average if performance swings wildly.</w:t>
      </w:r>
    </w:p>
    <w:p>
      <w:pPr>
        <w:numPr>
          <w:ilvl w:val="0"/>
          <w:numId w:val="1027"/>
        </w:numPr>
      </w:pPr>
      <w:r>
        <w:t xml:space="preserve">Resource allocation: When project costs, labor hours, or production output vary substantially, the business may adopt more conservative budgeting or scheduling. Understanding variation helps allocate resources more effectively and anticipate spikes or dips.</w:t>
      </w:r>
    </w:p>
    <w:p>
      <w:pPr>
        <w:numPr>
          <w:ilvl w:val="0"/>
          <w:numId w:val="1027"/>
        </w:numPr>
      </w:pPr>
      <w:r>
        <w:t xml:space="preserve">Identifying patterns and outliers: While the average might mask interesting details, measures of variation show you whether data points are clustered or spread out. A suddenly larger-than-usual spread can flag data quality issues or changing market conditions that warrant deeper investigation.</w:t>
      </w:r>
    </w:p>
    <w:p>
      <w:pPr>
        <w:numPr>
          <w:ilvl w:val="0"/>
          <w:numId w:val="1027"/>
        </w:numPr>
      </w:pPr>
      <w:r>
        <w:t xml:space="preserve">Planning and forecasting: Stable (low-variance) processes can be forecasted more reliably. Where the standard deviation is large, you know to proceed with caution—or invest in better predictive methods.</w:t>
      </w:r>
    </w:p>
    <w:p>
      <w:pPr>
        <w:pStyle w:val="FirstParagraph"/>
      </w:pPr>
      <w:r>
        <w:t xml:space="preserve">By integrating measures of variation into your initial data exploration, you gain a clearer picture of how much confidence (or uncertainty) you should place in averages, projections, and other core metrics. Below you find the standard R code to compute mean, median, mode, range, variance, and standard deviation of a variable.</w:t>
      </w:r>
    </w:p>
    <w:p>
      <w:pPr>
        <w:pStyle w:val="SourceCode"/>
      </w:pPr>
      <w:r>
        <w:rPr>
          <w:rStyle w:val="CommentTok"/>
        </w:rPr>
        <w:t xml:space="preserve"># Example R codes to display mean, median, mode, range, variance, standard deviation of a variable</w:t>
      </w:r>
      <w:r>
        <w:br/>
      </w:r>
      <w:r>
        <w:br/>
      </w:r>
      <w:r>
        <w:rPr>
          <w:rStyle w:val="CommentTok"/>
        </w:rPr>
        <w:t xml:space="preserve"># x &lt;- c(4, 7, 9, 3, 5, 6, 4, 9, 7)</w:t>
      </w:r>
      <w:r>
        <w:br/>
      </w:r>
      <w:r>
        <w:br/>
      </w:r>
      <w:r>
        <w:rPr>
          <w:rStyle w:val="CommentTok"/>
        </w:rPr>
        <w:t xml:space="preserve"># Mean</w:t>
      </w:r>
      <w:r>
        <w:br/>
      </w:r>
      <w:r>
        <w:rPr>
          <w:rStyle w:val="CommentTok"/>
        </w:rPr>
        <w:t xml:space="preserve"># mean(x)</w:t>
      </w:r>
      <w:r>
        <w:br/>
      </w:r>
      <w:r>
        <w:br/>
      </w:r>
      <w:r>
        <w:rPr>
          <w:rStyle w:val="CommentTok"/>
        </w:rPr>
        <w:t xml:space="preserve"># Median</w:t>
      </w:r>
      <w:r>
        <w:br/>
      </w:r>
      <w:r>
        <w:rPr>
          <w:rStyle w:val="CommentTok"/>
        </w:rPr>
        <w:t xml:space="preserve"># median(x)</w:t>
      </w:r>
      <w:r>
        <w:br/>
      </w:r>
      <w:r>
        <w:br/>
      </w:r>
      <w:r>
        <w:rPr>
          <w:rStyle w:val="CommentTok"/>
        </w:rPr>
        <w:t xml:space="preserve"># Mode (most frequent value)</w:t>
      </w:r>
      <w:r>
        <w:br/>
      </w:r>
      <w:r>
        <w:rPr>
          <w:rStyle w:val="CommentTok"/>
        </w:rPr>
        <w:t xml:space="preserve"># mode_value &lt;- names(sort(table(x), decreasing = TRUE))[1]</w:t>
      </w:r>
      <w:r>
        <w:br/>
      </w:r>
      <w:r>
        <w:rPr>
          <w:rStyle w:val="CommentTok"/>
        </w:rPr>
        <w:t xml:space="preserve"># mode_value</w:t>
      </w:r>
      <w:r>
        <w:br/>
      </w:r>
      <w:r>
        <w:br/>
      </w:r>
      <w:r>
        <w:rPr>
          <w:rStyle w:val="CommentTok"/>
        </w:rPr>
        <w:t xml:space="preserve"># Range (returns min and max)</w:t>
      </w:r>
      <w:r>
        <w:br/>
      </w:r>
      <w:r>
        <w:rPr>
          <w:rStyle w:val="CommentTok"/>
        </w:rPr>
        <w:t xml:space="preserve"># range(x)</w:t>
      </w:r>
      <w:r>
        <w:br/>
      </w:r>
      <w:r>
        <w:br/>
      </w:r>
      <w:r>
        <w:rPr>
          <w:rStyle w:val="CommentTok"/>
        </w:rPr>
        <w:t xml:space="preserve"># Range as a single number (max - min)</w:t>
      </w:r>
      <w:r>
        <w:br/>
      </w:r>
      <w:r>
        <w:rPr>
          <w:rStyle w:val="CommentTok"/>
        </w:rPr>
        <w:t xml:space="preserve"># diff(range(x))</w:t>
      </w:r>
      <w:r>
        <w:br/>
      </w:r>
      <w:r>
        <w:br/>
      </w:r>
      <w:r>
        <w:rPr>
          <w:rStyle w:val="CommentTok"/>
        </w:rPr>
        <w:t xml:space="preserve"># Variance</w:t>
      </w:r>
      <w:r>
        <w:br/>
      </w:r>
      <w:r>
        <w:rPr>
          <w:rStyle w:val="CommentTok"/>
        </w:rPr>
        <w:t xml:space="preserve"># var(x)</w:t>
      </w:r>
      <w:r>
        <w:br/>
      </w:r>
      <w:r>
        <w:br/>
      </w:r>
      <w:r>
        <w:rPr>
          <w:rStyle w:val="CommentTok"/>
        </w:rPr>
        <w:t xml:space="preserve"># Standard Deviation</w:t>
      </w:r>
      <w:r>
        <w:br/>
      </w:r>
      <w:r>
        <w:rPr>
          <w:rStyle w:val="CommentTok"/>
        </w:rPr>
        <w:t xml:space="preserve"># sd(x)</w:t>
      </w:r>
      <w:r>
        <w:br/>
      </w:r>
      <w:r>
        <w:br/>
      </w:r>
      <w:r>
        <w:rPr>
          <w:rStyle w:val="CommentTok"/>
        </w:rPr>
        <w:t xml:space="preserve"># Minimum</w:t>
      </w:r>
      <w:r>
        <w:br/>
      </w:r>
      <w:r>
        <w:rPr>
          <w:rStyle w:val="CommentTok"/>
        </w:rPr>
        <w:t xml:space="preserve"># min(x)</w:t>
      </w:r>
      <w:r>
        <w:br/>
      </w:r>
      <w:r>
        <w:br/>
      </w:r>
      <w:r>
        <w:rPr>
          <w:rStyle w:val="CommentTok"/>
        </w:rPr>
        <w:t xml:space="preserve"># Maximum</w:t>
      </w:r>
      <w:r>
        <w:br/>
      </w:r>
      <w:r>
        <w:rPr>
          <w:rStyle w:val="CommentTok"/>
        </w:rPr>
        <w:t xml:space="preserve"># max(x)</w:t>
      </w:r>
      <w:r>
        <w:br/>
      </w:r>
      <w:r>
        <w:br/>
      </w:r>
      <w:r>
        <w:rPr>
          <w:rStyle w:val="CommentTok"/>
        </w:rPr>
        <w:t xml:space="preserve"># Summary of all basic stats</w:t>
      </w:r>
      <w:r>
        <w:br/>
      </w:r>
      <w:r>
        <w:rPr>
          <w:rStyle w:val="CommentTok"/>
        </w:rPr>
        <w:t xml:space="preserve"># summary(x)</w:t>
      </w:r>
    </w:p>
    <w:bookmarkEnd w:id="166"/>
    <w:bookmarkStart w:id="175"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tbl>
      <w:tblPr>
        <w:tblStyle w:val="Table"/>
        <w:tblW w:type="pct" w:w="5000"/>
        <w:tblLayout w:type="fixed"/>
        <w:tblLook w:firstRow="0" w:lastRow="0" w:firstColumn="0" w:lastColumn="0" w:noHBand="0" w:noVBand="0" w:val="0000"/>
      </w:tblPr>
      <w:tblGrid>
        <w:gridCol w:w="7920"/>
      </w:tblGrid>
      <w:tr>
        <w:tc>
          <w:tcPr/>
          <w:bookmarkStart w:id="170" w:name="fig-c2-radar-static"/>
          <w:p>
            <w:pPr>
              <w:pStyle w:val="Compact"/>
              <w:jc w:val="center"/>
            </w:pPr>
            <w:r>
              <w:drawing>
                <wp:inline>
                  <wp:extent cx="5334000" cy="2278712"/>
                  <wp:effectExtent b="0" l="0" r="0" t="0"/>
                  <wp:docPr descr="" title="" id="168" name="Picture"/>
                  <a:graphic>
                    <a:graphicData uri="http://schemas.openxmlformats.org/drawingml/2006/picture">
                      <pic:pic>
                        <pic:nvPicPr>
                          <pic:cNvPr descr="pics/C2/skewness.png" id="169" name="Picture"/>
                          <pic:cNvPicPr>
                            <a:picLocks noChangeArrowheads="1" noChangeAspect="1"/>
                          </pic:cNvPicPr>
                        </pic:nvPicPr>
                        <pic:blipFill>
                          <a:blip r:embed="rId167"/>
                          <a:stretch>
                            <a:fillRect/>
                          </a:stretch>
                        </pic:blipFill>
                        <pic:spPr bwMode="auto">
                          <a:xfrm>
                            <a:off x="0" y="0"/>
                            <a:ext cx="5334000" cy="22787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3.16: Skewness</w:t>
            </w:r>
          </w:p>
          <w:bookmarkEnd w:id="170"/>
        </w:tc>
      </w:tr>
    </w:tbl>
    <w:p>
      <w:pPr>
        <w:pStyle w:val="BodyText"/>
      </w:pPr>
      <w:r>
        <w:t xml:space="preserve">Source: https://www.biologyforlife.com/skew.html</w:t>
      </w:r>
      <w:r>
        <w:t xml:space="preserve"> </w:t>
      </w:r>
    </w:p>
    <w:p>
      <w:pPr>
        <w:pStyle w:val="BodyText"/>
      </w:pPr>
      <w:r>
        <w:t xml:space="preserve">Skewness is often measured using the coefficient of skewness, whose calculation we leave to our favorite program.</w:t>
      </w:r>
    </w:p>
    <w:p>
      <w:pPr>
        <w:pStyle w:val="BodyText"/>
      </w:pPr>
      <w:r>
        <w:t xml:space="preserve">If the coefficient of skewness is positive, the dataset is positively skewed, while if it is negative, the dataset is negatively skewed. If it is zero, the dataset is normally distributed. A rule of thumb states the following:</w:t>
      </w:r>
    </w:p>
    <w:p>
      <w:pPr>
        <w:pStyle w:val="Compact"/>
        <w:numPr>
          <w:ilvl w:val="0"/>
          <w:numId w:val="1028"/>
        </w:numPr>
      </w:pPr>
      <w:r>
        <w:t xml:space="preserve">If skewness is less than −1 or greater than +1, the distribution is highly skewed.</w:t>
      </w:r>
    </w:p>
    <w:p>
      <w:pPr>
        <w:pStyle w:val="Compact"/>
        <w:numPr>
          <w:ilvl w:val="0"/>
          <w:numId w:val="1028"/>
        </w:numPr>
      </w:pPr>
      <w:r>
        <w:t xml:space="preserve">If skewness is between −1 and −.5 or between +.5 and +1, the distribution is moderately skewed.</w:t>
      </w:r>
    </w:p>
    <w:p>
      <w:pPr>
        <w:pStyle w:val="Compact"/>
        <w:numPr>
          <w:ilvl w:val="0"/>
          <w:numId w:val="1028"/>
        </w:numPr>
      </w:pPr>
      <w:r>
        <w:t xml:space="preserve">If skewness is between −.5 and +.5, the distribution is approximately symmetrical.</w:t>
      </w:r>
    </w:p>
    <w:p>
      <w:pPr>
        <w:pStyle w:val="FirstParagraph"/>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highlight how a dataset’s shape deviates from a perfect bell curve. These details can also reveal extremes that basic averages overlook. For example, a strong right skew might mean most sales are moderate but occasionally spike, something you should look into. A high kurtosis indicates heavier tails, alerting you to a higher likelihood of rare, for example, costly events. Below the R code as well.</w:t>
      </w:r>
    </w:p>
    <w:p>
      <w:pPr>
        <w:pStyle w:val="SourceCode"/>
      </w:pPr>
      <w:r>
        <w:rPr>
          <w:rStyle w:val="CommentTok"/>
        </w:rPr>
        <w:t xml:space="preserve"># Example R codes to display skewness and kurtosis of a variable</w:t>
      </w:r>
      <w:r>
        <w:br/>
      </w:r>
      <w:r>
        <w:br/>
      </w:r>
      <w:r>
        <w:rPr>
          <w:rStyle w:val="CommentTok"/>
        </w:rPr>
        <w:t xml:space="preserve"># x &lt;- c(4, 7, 9, 3, 5, 6, 4, 9, 7)</w:t>
      </w:r>
      <w:r>
        <w:br/>
      </w:r>
      <w:r>
        <w:br/>
      </w:r>
      <w:r>
        <w:rPr>
          <w:rStyle w:val="CommentTok"/>
        </w:rPr>
        <w:t xml:space="preserve"># Install the e1071 package if not already installed</w:t>
      </w:r>
      <w:r>
        <w:br/>
      </w:r>
      <w:r>
        <w:rPr>
          <w:rStyle w:val="CommentTok"/>
        </w:rPr>
        <w:t xml:space="preserve"># install.packages("e1071")</w:t>
      </w:r>
      <w:r>
        <w:br/>
      </w:r>
      <w:r>
        <w:br/>
      </w:r>
      <w:r>
        <w:rPr>
          <w:rStyle w:val="CommentTok"/>
        </w:rPr>
        <w:t xml:space="preserve"># Load the e1071 package</w:t>
      </w:r>
      <w:r>
        <w:br/>
      </w:r>
      <w:r>
        <w:rPr>
          <w:rStyle w:val="CommentTok"/>
        </w:rPr>
        <w:t xml:space="preserve"># library(e1071)</w:t>
      </w:r>
      <w:r>
        <w:br/>
      </w:r>
      <w:r>
        <w:br/>
      </w:r>
      <w:r>
        <w:rPr>
          <w:rStyle w:val="CommentTok"/>
        </w:rPr>
        <w:t xml:space="preserve"># Skewness (measure of asymmetry)</w:t>
      </w:r>
      <w:r>
        <w:br/>
      </w:r>
      <w:r>
        <w:rPr>
          <w:rStyle w:val="CommentTok"/>
        </w:rPr>
        <w:t xml:space="preserve"># skewness(x)</w:t>
      </w:r>
      <w:r>
        <w:br/>
      </w:r>
      <w:r>
        <w:br/>
      </w:r>
      <w:r>
        <w:rPr>
          <w:rStyle w:val="CommentTok"/>
        </w:rPr>
        <w:t xml:space="preserve"># Kurtosis (measure of the "tailedness")</w:t>
      </w:r>
      <w:r>
        <w:br/>
      </w:r>
      <w:r>
        <w:rPr>
          <w:rStyle w:val="CommentTok"/>
        </w:rPr>
        <w:t xml:space="preserve"># kurtosis(x)</w:t>
      </w:r>
    </w:p>
    <w:tbl>
      <w:tblPr>
        <w:tblStyle w:val="Table"/>
        <w:tblW w:type="pct" w:w="5000"/>
        <w:tblLayout w:type="fixed"/>
        <w:tblLook w:firstRow="0" w:lastRow="0" w:firstColumn="0" w:lastColumn="0" w:noHBand="0" w:noVBand="0" w:val="0000"/>
      </w:tblPr>
      <w:tblGrid>
        <w:gridCol w:w="7920"/>
      </w:tblGrid>
      <w:tr>
        <w:tc>
          <w:tcPr/>
          <w:bookmarkStart w:id="174" w:name="fig-c2-radar-static"/>
          <w:p>
            <w:pPr>
              <w:pStyle w:val="Compact"/>
              <w:jc w:val="center"/>
            </w:pPr>
            <w:r>
              <w:drawing>
                <wp:inline>
                  <wp:extent cx="5073161" cy="2857500"/>
                  <wp:effectExtent b="0" l="0" r="0" t="0"/>
                  <wp:docPr descr="" title="" id="172" name="Picture"/>
                  <a:graphic>
                    <a:graphicData uri="http://schemas.openxmlformats.org/drawingml/2006/picture">
                      <pic:pic>
                        <pic:nvPicPr>
                          <pic:cNvPr descr="pics/C2/kurtosis.png" id="173" name="Picture"/>
                          <pic:cNvPicPr>
                            <a:picLocks noChangeArrowheads="1" noChangeAspect="1"/>
                          </pic:cNvPicPr>
                        </pic:nvPicPr>
                        <pic:blipFill>
                          <a:blip r:embed="rId171"/>
                          <a:stretch>
                            <a:fillRect/>
                          </a:stretch>
                        </pic:blipFill>
                        <pic:spPr bwMode="auto">
                          <a:xfrm>
                            <a:off x="0" y="0"/>
                            <a:ext cx="5073161"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3.17: Kurtosis</w:t>
            </w:r>
          </w:p>
          <w:bookmarkEnd w:id="174"/>
        </w:tc>
      </w:tr>
    </w:tbl>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w:t>
      </w:r>
    </w:p>
    <w:bookmarkEnd w:id="175"/>
    <w:bookmarkStart w:id="176" w:name="sec-outlier"/>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the typical threshold for the Z-score is usually |Z| &gt; 2 or |Z| &gt; 3.</w:t>
      </w:r>
    </w:p>
    <w:p>
      <w:pPr>
        <w:pStyle w:val="BodyText"/>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pStyle w:val="BodyText"/>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p>
      <w:pPr>
        <w:pStyle w:val="BodyText"/>
      </w:pPr>
      <w:r>
        <w:t xml:space="preserve">See the R codes for the Z-score and IQR below.</w:t>
      </w:r>
    </w:p>
    <w:p>
      <w:pPr>
        <w:pStyle w:val="SourceCode"/>
      </w:pPr>
      <w:r>
        <w:rPr>
          <w:rStyle w:val="CommentTok"/>
        </w:rPr>
        <w:t xml:space="preserve"># Example R codes to display Z-score and IQR of a variable</w:t>
      </w:r>
      <w:r>
        <w:br/>
      </w:r>
      <w:r>
        <w:br/>
      </w:r>
      <w:r>
        <w:rPr>
          <w:rStyle w:val="CommentTok"/>
        </w:rPr>
        <w:t xml:space="preserve"># x &lt;- c(4, 7, 9, 3, 5, 6, 4, 9, 7)</w:t>
      </w:r>
      <w:r>
        <w:br/>
      </w:r>
      <w:r>
        <w:br/>
      </w:r>
      <w:r>
        <w:rPr>
          <w:rStyle w:val="CommentTok"/>
        </w:rPr>
        <w:t xml:space="preserve"># Z-scores</w:t>
      </w:r>
      <w:r>
        <w:br/>
      </w:r>
      <w:r>
        <w:rPr>
          <w:rStyle w:val="CommentTok"/>
        </w:rPr>
        <w:t xml:space="preserve"># z_scores &lt;- (x - mean(x)) / sd(x)</w:t>
      </w:r>
      <w:r>
        <w:br/>
      </w:r>
      <w:r>
        <w:rPr>
          <w:rStyle w:val="CommentTok"/>
        </w:rPr>
        <w:t xml:space="preserve"># z_scores</w:t>
      </w:r>
      <w:r>
        <w:br/>
      </w:r>
      <w:r>
        <w:br/>
      </w:r>
      <w:r>
        <w:rPr>
          <w:rStyle w:val="CommentTok"/>
        </w:rPr>
        <w:t xml:space="preserve"># Compute quartiles</w:t>
      </w:r>
      <w:r>
        <w:br/>
      </w:r>
      <w:r>
        <w:rPr>
          <w:rStyle w:val="CommentTok"/>
        </w:rPr>
        <w:t xml:space="preserve"># Q1 &lt;- quantile(x, 0.25)</w:t>
      </w:r>
      <w:r>
        <w:br/>
      </w:r>
      <w:r>
        <w:rPr>
          <w:rStyle w:val="CommentTok"/>
        </w:rPr>
        <w:t xml:space="preserve"># Q3 &lt;- quantile(x, 0.75)</w:t>
      </w:r>
      <w:r>
        <w:br/>
      </w:r>
      <w:r>
        <w:br/>
      </w:r>
      <w:r>
        <w:rPr>
          <w:rStyle w:val="CommentTok"/>
        </w:rPr>
        <w:t xml:space="preserve"># Compute IQR</w:t>
      </w:r>
      <w:r>
        <w:br/>
      </w:r>
      <w:r>
        <w:rPr>
          <w:rStyle w:val="CommentTok"/>
        </w:rPr>
        <w:t xml:space="preserve"># IQR_value &lt;- IQR(x)</w:t>
      </w:r>
      <w:r>
        <w:br/>
      </w:r>
      <w:r>
        <w:br/>
      </w:r>
      <w:r>
        <w:rPr>
          <w:rStyle w:val="CommentTok"/>
        </w:rPr>
        <w:t xml:space="preserve"># Compute lower and upper bounds</w:t>
      </w:r>
      <w:r>
        <w:br/>
      </w:r>
      <w:r>
        <w:rPr>
          <w:rStyle w:val="CommentTok"/>
        </w:rPr>
        <w:t xml:space="preserve"># lower_bound &lt;- Q1 - 1.5 * IQR_value</w:t>
      </w:r>
      <w:r>
        <w:br/>
      </w:r>
      <w:r>
        <w:rPr>
          <w:rStyle w:val="CommentTok"/>
        </w:rPr>
        <w:t xml:space="preserve"># upper_bound &lt;- Q3 + 1.5 * IQR_value</w:t>
      </w:r>
      <w:r>
        <w:br/>
      </w:r>
      <w:r>
        <w:br/>
      </w:r>
      <w:r>
        <w:rPr>
          <w:rStyle w:val="CommentTok"/>
        </w:rPr>
        <w:t xml:space="preserve"># Identify outliers</w:t>
      </w:r>
      <w:r>
        <w:br/>
      </w:r>
      <w:r>
        <w:rPr>
          <w:rStyle w:val="CommentTok"/>
        </w:rPr>
        <w:t xml:space="preserve"># outliers &lt;- x[x &lt; lower_bound | x &gt; upper_bound]</w:t>
      </w:r>
      <w:r>
        <w:br/>
      </w:r>
      <w:r>
        <w:br/>
      </w:r>
      <w:r>
        <w:rPr>
          <w:rStyle w:val="CommentTok"/>
        </w:rPr>
        <w:t xml:space="preserve"># View results</w:t>
      </w:r>
      <w:r>
        <w:br/>
      </w:r>
      <w:r>
        <w:rPr>
          <w:rStyle w:val="CommentTok"/>
        </w:rPr>
        <w:t xml:space="preserve"># IQR_value</w:t>
      </w:r>
      <w:r>
        <w:br/>
      </w:r>
      <w:r>
        <w:rPr>
          <w:rStyle w:val="CommentTok"/>
        </w:rPr>
        <w:t xml:space="preserve"># lower_bound</w:t>
      </w:r>
      <w:r>
        <w:br/>
      </w:r>
      <w:r>
        <w:rPr>
          <w:rStyle w:val="CommentTok"/>
        </w:rPr>
        <w:t xml:space="preserve"># upper_bound</w:t>
      </w:r>
      <w:r>
        <w:br/>
      </w:r>
      <w:r>
        <w:rPr>
          <w:rStyle w:val="CommentTok"/>
        </w:rPr>
        <w:t xml:space="preserve"># outliers</w:t>
      </w:r>
    </w:p>
    <w:bookmarkEnd w:id="176"/>
    <w:bookmarkEnd w:id="177"/>
    <w:bookmarkStart w:id="182" w:name="sec-corranal"/>
    <w:p>
      <w:pPr>
        <w:pStyle w:val="Heading4"/>
      </w:pPr>
      <w:r>
        <w:t xml:space="preserve">3.5.3.2 Correlation analysis</w:t>
      </w:r>
    </w:p>
    <w:p>
      <w:pPr>
        <w:pStyle w:val="FirstParagraph"/>
      </w:pPr>
      <w:r>
        <w:t xml:space="preserve">While correlations can be depicted visually, a correlation can also be measured statistically, quantifying the strength and direction of the relationship between two variables. The most widely used correlation coefficient is the Pearson correlation coefficient, also known as Pearson’s r.</w:t>
      </w:r>
    </w:p>
    <w:tbl>
      <w:tblPr>
        <w:tblStyle w:val="Table"/>
        <w:tblW w:type="pct" w:w="5000"/>
        <w:tblLayout w:type="fixed"/>
        <w:tblLook w:firstRow="0" w:lastRow="0" w:firstColumn="0" w:lastColumn="0" w:noHBand="0" w:noVBand="0" w:val="0000"/>
      </w:tblPr>
      <w:tblGrid>
        <w:gridCol w:w="7920"/>
      </w:tblGrid>
      <w:tr>
        <w:tc>
          <w:tcPr/>
          <w:bookmarkStart w:id="181" w:name="tbl-summary"/>
          <w:p>
            <w:pPr>
              <w:jc w:val="center"/>
            </w:pPr>
            <w:pPr>
              <w:jc w:val="start"/>
              <w:spacing w:before="200"/>
              <w:pStyle w:val="ImageCaption"/>
            </w:pPr>
            <w:r>
              <w:t xml:space="preserve">Table 3.1: Correlation coefficient</w:t>
            </w:r>
          </w:p>
          <w:p>
            <w:pPr>
              <w:pStyle w:val="Compact"/>
              <w:jc w:val="center"/>
            </w:pPr>
            <w:r>
              <w:drawing>
                <wp:inline>
                  <wp:extent cx="3759706" cy="4286250"/>
                  <wp:effectExtent b="0" l="0" r="0" t="0"/>
                  <wp:docPr descr="" title="" id="179" name="Picture"/>
                  <a:graphic>
                    <a:graphicData uri="http://schemas.openxmlformats.org/drawingml/2006/picture">
                      <pic:pic>
                        <pic:nvPicPr>
                          <pic:cNvPr descr="pics/C2/corrcoeff.png" id="180" name="Picture"/>
                          <pic:cNvPicPr>
                            <a:picLocks noChangeArrowheads="1" noChangeAspect="1"/>
                          </pic:cNvPicPr>
                        </pic:nvPicPr>
                        <pic:blipFill>
                          <a:blip r:embed="rId178"/>
                          <a:stretch>
                            <a:fillRect/>
                          </a:stretch>
                        </pic:blipFill>
                        <pic:spPr bwMode="auto">
                          <a:xfrm>
                            <a:off x="0" y="0"/>
                            <a:ext cx="3759706" cy="4286250"/>
                          </a:xfrm>
                          <a:prstGeom prst="rect">
                            <a:avLst/>
                          </a:prstGeom>
                          <a:noFill/>
                          <a:ln w="9525">
                            <a:noFill/>
                            <a:headEnd/>
                            <a:tailEnd/>
                          </a:ln>
                        </pic:spPr>
                      </pic:pic>
                    </a:graphicData>
                  </a:graphic>
                </wp:inline>
              </w:drawing>
            </w:r>
          </w:p>
          <w:bookmarkEnd w:id="181"/>
        </w:tc>
      </w:tr>
    </w:tbl>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29"/>
        </w:numPr>
      </w:pPr>
      <w:r>
        <w:t xml:space="preserve">r = 0: No linear relationship between the variables.</w:t>
      </w:r>
    </w:p>
    <w:p>
      <w:pPr>
        <w:pStyle w:val="Compact"/>
        <w:numPr>
          <w:ilvl w:val="0"/>
          <w:numId w:val="1029"/>
        </w:numPr>
      </w:pPr>
      <w:r>
        <w:t xml:space="preserve">0 &lt; |r| &lt; 0.3: A weak or negligible linear relationship.</w:t>
      </w:r>
    </w:p>
    <w:p>
      <w:pPr>
        <w:pStyle w:val="Compact"/>
        <w:numPr>
          <w:ilvl w:val="0"/>
          <w:numId w:val="1029"/>
        </w:numPr>
      </w:pPr>
      <w:r>
        <w:t xml:space="preserve">0.3 ≤ |r| &lt; 0.5: A moderate linear relationship.</w:t>
      </w:r>
    </w:p>
    <w:p>
      <w:pPr>
        <w:pStyle w:val="Compact"/>
        <w:numPr>
          <w:ilvl w:val="0"/>
          <w:numId w:val="1029"/>
        </w:numPr>
      </w:pPr>
      <w:r>
        <w:t xml:space="preserve">0.5 ≤ |r| &lt; 0.7: A strong linear relationship.</w:t>
      </w:r>
    </w:p>
    <w:p>
      <w:pPr>
        <w:pStyle w:val="Compact"/>
        <w:numPr>
          <w:ilvl w:val="0"/>
          <w:numId w:val="1029"/>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are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 - 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82"/>
    <w:bookmarkEnd w:id="183"/>
    <w:bookmarkEnd w:id="184"/>
    <w:bookmarkStart w:id="196" w:name="sec-chall"/>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89" w:name="sec-predval"/>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tbl>
      <w:tblPr>
        <w:tblStyle w:val="Table"/>
        <w:tblW w:type="pct" w:w="5000"/>
        <w:tblLayout w:type="fixed"/>
        <w:tblLook w:firstRow="0" w:lastRow="0" w:firstColumn="0" w:lastColumn="0" w:noHBand="0" w:noVBand="0" w:val="0000"/>
      </w:tblPr>
      <w:tblGrid>
        <w:gridCol w:w="7920"/>
      </w:tblGrid>
      <w:tr>
        <w:tc>
          <w:tcPr/>
          <w:bookmarkStart w:id="188" w:name="fig-c2-radar-static"/>
          <w:p>
            <w:pPr>
              <w:pStyle w:val="Compact"/>
              <w:jc w:val="center"/>
            </w:pPr>
            <w:r>
              <w:drawing>
                <wp:inline>
                  <wp:extent cx="5334000" cy="1480064"/>
                  <wp:effectExtent b="0" l="0" r="0" t="0"/>
                  <wp:docPr descr="" title="" id="186" name="Picture"/>
                  <a:graphic>
                    <a:graphicData uri="http://schemas.openxmlformats.org/drawingml/2006/picture">
                      <pic:pic>
                        <pic:nvPicPr>
                          <pic:cNvPr descr="pics/C2/pvf.png" id="187" name="Picture"/>
                          <pic:cNvPicPr>
                            <a:picLocks noChangeArrowheads="1" noChangeAspect="1"/>
                          </pic:cNvPicPr>
                        </pic:nvPicPr>
                        <pic:blipFill>
                          <a:blip r:embed="rId185"/>
                          <a:stretch>
                            <a:fillRect/>
                          </a:stretch>
                        </pic:blipFill>
                        <pic:spPr bwMode="auto">
                          <a:xfrm>
                            <a:off x="0" y="0"/>
                            <a:ext cx="5334000" cy="14800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3.18: Predictive validity framework</w:t>
            </w:r>
          </w:p>
          <w:bookmarkEnd w:id="188"/>
        </w:tc>
      </w:tr>
    </w:tbl>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 And if this is mostly measured in regulated industries, what does this say about the generalizability if you only cover those industries?</w:t>
      </w:r>
    </w:p>
    <w:p>
      <w:pPr>
        <w:pStyle w:val="BodyText"/>
      </w:pP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p>
    <w:p>
      <w:pPr>
        <w:pStyle w:val="Compact"/>
        <w:numPr>
          <w:ilvl w:val="0"/>
          <w:numId w:val="1030"/>
        </w:numPr>
      </w:pPr>
      <w:r>
        <w:t xml:space="preserve">Select variables carefully: Review internal/external data, industry benchmarks, and best practices to find variables strongly linked to the underlying construct.</w:t>
      </w:r>
    </w:p>
    <w:p>
      <w:pPr>
        <w:pStyle w:val="Compact"/>
        <w:numPr>
          <w:ilvl w:val="0"/>
          <w:numId w:val="1030"/>
        </w:numPr>
      </w:pPr>
      <w:r>
        <w:t xml:space="preserve">Use multiple proxies: Capturing different facets of the same concept reduces measurement error.</w:t>
      </w:r>
    </w:p>
    <w:p>
      <w:pPr>
        <w:pStyle w:val="Compact"/>
        <w:numPr>
          <w:ilvl w:val="0"/>
          <w:numId w:val="1030"/>
        </w:numPr>
      </w:pPr>
      <w:r>
        <w:t xml:space="preserve">Asses validity of measures: Check convergent validity (similar measures of the same underlying concept correlate) and discriminant validity (unrelated measures of different concepts should not correlate).</w:t>
      </w:r>
    </w:p>
    <w:p>
      <w:pPr>
        <w:pStyle w:val="Compact"/>
        <w:numPr>
          <w:ilvl w:val="0"/>
          <w:numId w:val="1030"/>
        </w:numPr>
      </w:pPr>
      <w:r>
        <w:t xml:space="preserve">Develop or adopt reliable instruments: Use established measurers, or develop tools which should be tested for internal consistency and stability over time.</w:t>
      </w:r>
    </w:p>
    <w:p>
      <w:pPr>
        <w:pStyle w:val="Compact"/>
        <w:numPr>
          <w:ilvl w:val="0"/>
          <w:numId w:val="1030"/>
        </w:numPr>
      </w:pPr>
      <w:r>
        <w:t xml:space="preserve">Choose a representative sample: Robust, diverse data can help ensure that the relationships observed between variables are robust and applicable to the wider business context.</w:t>
      </w:r>
    </w:p>
    <w:p>
      <w:pPr>
        <w:pStyle w:val="Compact"/>
        <w:numPr>
          <w:ilvl w:val="0"/>
          <w:numId w:val="1030"/>
        </w:numPr>
      </w:pPr>
      <w:r>
        <w:t xml:space="preserve">Control confounding variables: Identifying and accounting for confounding variables reduces spurious relationships (see</w:t>
      </w:r>
      <w:r>
        <w:t xml:space="preserve"> </w:t>
      </w:r>
      <w:hyperlink w:anchor="sec-corranal">
        <w:r>
          <w:rPr>
            <w:rStyle w:val="Hyperlink"/>
          </w:rPr>
          <w:t xml:space="preserve">Section 3.5.3.2</w:t>
        </w:r>
      </w:hyperlink>
      <w:r>
        <w:t xml:space="preserve">) and increase validity (more details in</w:t>
      </w:r>
      <w:r>
        <w:t xml:space="preserve"> </w:t>
      </w:r>
      <w:hyperlink w:anchor="sec-diag">
        <w:r>
          <w:rPr>
            <w:rStyle w:val="Hyperlink"/>
          </w:rPr>
          <w:t xml:space="preserve">Chapter 4</w:t>
        </w:r>
      </w:hyperlink>
      <w:r>
        <w:t xml:space="preserve">).</w:t>
      </w:r>
    </w:p>
    <w:p>
      <w:pPr>
        <w:pStyle w:val="Compact"/>
        <w:numPr>
          <w:ilvl w:val="0"/>
          <w:numId w:val="1030"/>
        </w:numPr>
      </w:pPr>
      <w:r>
        <w:t xml:space="preserve">Reassess regularly: Update measures as new research emerges or business environments shift.</w:t>
      </w:r>
    </w:p>
    <w:bookmarkEnd w:id="189"/>
    <w:bookmarkStart w:id="190"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shopping habits, time stamp of each shop visit, amount spent per shopping trip,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Compact"/>
        <w:numPr>
          <w:ilvl w:val="0"/>
          <w:numId w:val="1031"/>
        </w:numPr>
      </w:pPr>
      <w:r>
        <w:t xml:space="preserve">Narrow the focus: Identify exactly which information needs to be extracted from unstructured data, ensuring targeted and relevant preprocessing efforts.</w:t>
      </w:r>
    </w:p>
    <w:p>
      <w:pPr>
        <w:pStyle w:val="Compact"/>
        <w:numPr>
          <w:ilvl w:val="0"/>
          <w:numId w:val="1031"/>
        </w:numPr>
      </w:pPr>
      <w:r>
        <w:t xml:space="preserve">Use specialized tools: Employ natural language processing (NLP) for text, image recognition for visual data, or signal processing for audio to extract key features effectively.</w:t>
      </w:r>
    </w:p>
    <w:p>
      <w:pPr>
        <w:pStyle w:val="Compact"/>
        <w:numPr>
          <w:ilvl w:val="0"/>
          <w:numId w:val="1031"/>
        </w:numPr>
      </w:pPr>
      <w:r>
        <w:t xml:space="preserve">Reduce dimensionality: Apply techniques like principal component analysis (PCA) or feature selection to structured data, and use topic modeling or autoencoders for unstructured data to handle high-dimensional datasets.</w:t>
      </w:r>
    </w:p>
    <w:bookmarkEnd w:id="190"/>
    <w:bookmarkStart w:id="191"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 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w:t>
      </w:r>
    </w:p>
    <w:p>
      <w:pPr>
        <w:pStyle w:val="Compact"/>
        <w:numPr>
          <w:ilvl w:val="0"/>
          <w:numId w:val="1032"/>
        </w:numPr>
      </w:pPr>
      <w:r>
        <w:t xml:space="preserve">Clean and preprocess first: Conduct thorough data cleaning (e.g., removing duplicates, correcting errors) before any analysis to ensure higher-quality results.</w:t>
      </w:r>
    </w:p>
    <w:p>
      <w:pPr>
        <w:pStyle w:val="Compact"/>
        <w:numPr>
          <w:ilvl w:val="0"/>
          <w:numId w:val="1032"/>
        </w:numPr>
      </w:pPr>
      <w:r>
        <w:t xml:space="preserve">Validate and verify data: Cross-check sources, review data collection methods, and confirm authenticity to reduce errors and improve reliability.</w:t>
      </w:r>
    </w:p>
    <w:p>
      <w:pPr>
        <w:pStyle w:val="Compact"/>
        <w:numPr>
          <w:ilvl w:val="0"/>
          <w:numId w:val="1032"/>
        </w:numPr>
      </w:pPr>
      <w:r>
        <w:t xml:space="preserve">Combine multiple sources: Merge datasets to fill gaps and uncover hidden patterns. Always check compatibility and quality before merging.</w:t>
      </w:r>
    </w:p>
    <w:p>
      <w:pPr>
        <w:pStyle w:val="Compact"/>
        <w:numPr>
          <w:ilvl w:val="0"/>
          <w:numId w:val="1032"/>
        </w:numPr>
      </w:pPr>
      <w:r>
        <w:t xml:space="preserve">Keep data up-to-date: Regularly refresh sources - via automated feeds or scheduled updates - to ensure analyses remain accurate.</w:t>
      </w:r>
    </w:p>
    <w:p>
      <w:pPr>
        <w:pStyle w:val="Compact"/>
        <w:numPr>
          <w:ilvl w:val="0"/>
          <w:numId w:val="1032"/>
        </w:numPr>
      </w:pPr>
      <w:r>
        <w:t xml:space="preserve">Explore alternatives for inaccessible data: Use proxy variables or alternative datasets if original sources are not available, but confirm they are valid and relevant to your analysis context (see also</w:t>
      </w:r>
      <w:r>
        <w:t xml:space="preserve"> </w:t>
      </w:r>
      <w:hyperlink w:anchor="sec-predval">
        <w:r>
          <w:rPr>
            <w:rStyle w:val="Hyperlink"/>
          </w:rPr>
          <w:t xml:space="preserve">Section 3.6.1</w:t>
        </w:r>
      </w:hyperlink>
      <w:r>
        <w:t xml:space="preserve">).</w:t>
      </w:r>
    </w:p>
    <w:bookmarkEnd w:id="191"/>
    <w:bookmarkStart w:id="192"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w:t>
      </w:r>
    </w:p>
    <w:p>
      <w:pPr>
        <w:pStyle w:val="Compact"/>
        <w:numPr>
          <w:ilvl w:val="0"/>
          <w:numId w:val="1033"/>
        </w:numPr>
      </w:pPr>
      <w:r>
        <w:t xml:space="preserve">Standardize formats and encodings: Establish a consistent data formatting and encoding policy to prevent unreadable text or mismatched data values, simplifying the cleaning process and reducing errors during transformation.</w:t>
      </w:r>
    </w:p>
    <w:p>
      <w:pPr>
        <w:pStyle w:val="Compact"/>
        <w:numPr>
          <w:ilvl w:val="0"/>
          <w:numId w:val="1033"/>
        </w:numPr>
      </w:pPr>
      <w:r>
        <w:t xml:space="preserve">Automate data cleaning: Use scripts or specialized tools to detect and fix inconsistencies, missing values, or errors. Automation saves time and minimizes human error, making data preparation more efficient.</w:t>
      </w:r>
    </w:p>
    <w:p>
      <w:pPr>
        <w:pStyle w:val="Compact"/>
        <w:numPr>
          <w:ilvl w:val="0"/>
          <w:numId w:val="1033"/>
        </w:numPr>
      </w:pPr>
      <w:r>
        <w:t xml:space="preserve">Focus on high-impact issues: Prioritize critical data problems that significantly influence pattern identification. Address these first to protect key insights, and defer lower-priority items if resources are limited.</w:t>
      </w:r>
    </w:p>
    <w:p>
      <w:pPr>
        <w:pStyle w:val="Compact"/>
        <w:numPr>
          <w:ilvl w:val="0"/>
          <w:numId w:val="1033"/>
        </w:numPr>
      </w:pPr>
      <w:r>
        <w:t xml:space="preserve">Collaborate with stakeholders: Work with data providers and other parties to define clear data quality standards. Tackling errors at the source accelerates pattern discovery and avoids time-consuming downstream fixes.</w:t>
      </w:r>
    </w:p>
    <w:p>
      <w:pPr>
        <w:pStyle w:val="Compact"/>
        <w:numPr>
          <w:ilvl w:val="0"/>
          <w:numId w:val="1033"/>
        </w:numPr>
      </w:pPr>
      <w:r>
        <w:t xml:space="preserve">Invest in training: Equip your team with skills in data quality, cleaning, and validation. Building in-house expertise boosts efficiency, enabling quicker and more accurate insights from your data.</w:t>
      </w:r>
    </w:p>
    <w:bookmarkEnd w:id="192"/>
    <w:bookmarkStart w:id="193"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generally</w:t>
      </w:r>
      <w:r>
        <w:t xml:space="preserve"> </w:t>
      </w:r>
      <w:r>
        <w:rPr>
          <w:b/>
          <w:bCs/>
        </w:rPr>
        <w:t xml:space="preserve">two types of noise</w:t>
      </w:r>
      <w:r>
        <w:t xml:space="preserve"> </w:t>
      </w:r>
      <w:r>
        <w:t xml:space="preserve">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often due to a flawed or biased measurement.</w:t>
      </w:r>
    </w:p>
    <w:p>
      <w:pPr>
        <w:pStyle w:val="BodyText"/>
      </w:pPr>
      <w:r>
        <w:rPr>
          <w:b/>
          <w:bCs/>
        </w:rPr>
        <w:t xml:space="preserve">Sources of noise</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w:t>
      </w:r>
    </w:p>
    <w:p>
      <w:pPr>
        <w:pStyle w:val="BodyText"/>
      </w:pPr>
      <w:r>
        <w:rPr>
          <w:b/>
          <w:bCs/>
        </w:rPr>
        <w:t xml:space="preserve">Data entry errors</w:t>
      </w:r>
      <w:r>
        <w:t xml:space="preserve"> </w:t>
      </w:r>
      <w:r>
        <w:t xml:space="preserve">are mistakes that occur during the process of entering data into a computer or database. Data entry errors can cause inaccurate values or outliers in the data because they can lead to values that are significantly different from the actual value of the variable being measured. For example, suppose that the accountant incorrectly records sales transactions and types €200 instead of €100.</w:t>
      </w:r>
    </w:p>
    <w:p>
      <w:pPr>
        <w:pStyle w:val="BodyText"/>
      </w:pPr>
      <w:r>
        <w:t xml:space="preserve">Dealing with noisy data often requires additional preprocessing steps.</w:t>
      </w:r>
    </w:p>
    <w:p>
      <w:pPr>
        <w:pStyle w:val="Compact"/>
        <w:numPr>
          <w:ilvl w:val="0"/>
          <w:numId w:val="1034"/>
        </w:numPr>
      </w:pPr>
      <w:r>
        <w:t xml:space="preserve">One approach to managing noisy data is applying smoothing techniques such as moving averages, which help reduce the impact of random variations in the data.</w:t>
      </w:r>
    </w:p>
    <w:p>
      <w:pPr>
        <w:pStyle w:val="Compact"/>
        <w:numPr>
          <w:ilvl w:val="0"/>
          <w:numId w:val="1034"/>
        </w:numPr>
      </w:pPr>
      <w:r>
        <w:t xml:space="preserve">Outlier detection is another important aspect of handling noisy data (see previous sections for identification methods). If the outliers are due to measurement errors, data entry errors, or sampling error, then it may be appropriate to remove them from the dataset. In that case, the data points do not belong into the data. However, things are different when considering data points which are extreme, but real. Sometimes</w:t>
      </w:r>
      <w:r>
        <w:t xml:space="preserve"> </w:t>
      </w:r>
      <w:r>
        <w:rPr>
          <w:b/>
          <w:bCs/>
        </w:rPr>
        <w:t xml:space="preserve">outliers occur naturally</w:t>
      </w:r>
      <w:r>
        <w:t xml:space="preserve">, and are part of the population you are investigating. In this case, you should not remove the outlier, but handle it differently. 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 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Compact"/>
        <w:numPr>
          <w:ilvl w:val="0"/>
          <w:numId w:val="1034"/>
        </w:numPr>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93"/>
    <w:bookmarkStart w:id="194"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w:t>
      </w:r>
    </w:p>
    <w:p>
      <w:pPr>
        <w:pStyle w:val="BodyText"/>
      </w:pPr>
      <w:r>
        <w:t xml:space="preserve">Imagine you have a dataset of monthly sales amounts ranging from €500 to €10,000, and the distribution is heavily skewed by a few very large values:</w:t>
      </w:r>
    </w:p>
    <w:p>
      <w:pPr>
        <w:numPr>
          <w:ilvl w:val="0"/>
          <w:numId w:val="1035"/>
        </w:numPr>
      </w:pPr>
      <w:r>
        <w:t xml:space="preserve">Normalization example (Log transform): Taking the log of each sales figure (e.g., log10(sales)) reduces the impact of extremely high values and pulls the distribution closer to a normal (bell-shaped) curve. The shape of the data changes: high sales numbers come down in scale more than smaller ones do, thus reducing skew.</w:t>
      </w:r>
    </w:p>
    <w:p>
      <w:pPr>
        <w:numPr>
          <w:ilvl w:val="0"/>
          <w:numId w:val="1035"/>
        </w:numPr>
      </w:pPr>
      <w:r>
        <w:t xml:space="preserve">Scaling example (Min-max scaling): Transform each sales value so the minimum becomes 0 and the maximum becomes 1, using a formula like</w:t>
      </w:r>
    </w:p>
    <w:p>
      <w:pPr>
        <w:numPr>
          <w:ilvl w:val="0"/>
          <w:numId w:val="1000"/>
        </w:numPr>
      </w:pPr>
      <w:r>
        <w:t xml:space="preserve">Scaled value = x−min(x) / max(x)−min(x)</w:t>
      </w:r>
    </w:p>
    <w:p>
      <w:pPr>
        <w:pStyle w:val="FirstParagraph"/>
      </w:pPr>
      <w:r>
        <w:t xml:space="preserve">Now every data point fits in the range [0, 1], but the overall shape - including how skewed the distribution is - remains the same; you have only adjusted the range.</w:t>
      </w:r>
    </w:p>
    <w:p>
      <w:pPr>
        <w:pStyle w:val="BodyText"/>
      </w:pPr>
      <w:r>
        <w:t xml:space="preserve">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94"/>
    <w:bookmarkStart w:id="195"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95"/>
    <w:bookmarkEnd w:id="196"/>
    <w:bookmarkEnd w:id="197"/>
    <w:bookmarkStart w:id="261" w:name="sec-diag"/>
    <w:p>
      <w:pPr>
        <w:pStyle w:val="Heading1"/>
      </w:pPr>
      <w:r>
        <w:t xml:space="preserve">4. Diagnostic Analytics</w:t>
      </w:r>
    </w:p>
    <w:bookmarkStart w:id="198" w:name="learning-goals-2"/>
    <w:p>
      <w:pPr>
        <w:pStyle w:val="Heading2"/>
      </w:pPr>
      <w:r>
        <w:t xml:space="preserve">4.1 Learning goals</w:t>
      </w:r>
    </w:p>
    <w:p>
      <w:pPr>
        <w:pStyle w:val="Compact"/>
        <w:numPr>
          <w:ilvl w:val="0"/>
          <w:numId w:val="1036"/>
        </w:numPr>
      </w:pPr>
      <w:r>
        <w:t xml:space="preserve">Critically analyze identified data patterns</w:t>
      </w:r>
    </w:p>
    <w:p>
      <w:pPr>
        <w:pStyle w:val="Compact"/>
        <w:numPr>
          <w:ilvl w:val="0"/>
          <w:numId w:val="1036"/>
        </w:numPr>
      </w:pPr>
      <w:r>
        <w:t xml:space="preserve">Evaluate the association between important decision variables</w:t>
      </w:r>
    </w:p>
    <w:p>
      <w:pPr>
        <w:pStyle w:val="Compact"/>
        <w:numPr>
          <w:ilvl w:val="0"/>
          <w:numId w:val="1036"/>
        </w:numPr>
      </w:pPr>
      <w:r>
        <w:t xml:space="preserve">Evaluate business decisions and refine critical assumptions to improve decision-making by using advanced methods to analyze business data</w:t>
      </w:r>
    </w:p>
    <w:bookmarkEnd w:id="198"/>
    <w:bookmarkStart w:id="199"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99"/>
    <w:bookmarkStart w:id="201"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200"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200"/>
    <w:bookmarkEnd w:id="201"/>
    <w:bookmarkStart w:id="210"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205" w:name="fig-MM1"/>
          <w:p>
            <w:pPr>
              <w:pStyle w:val="Compact"/>
              <w:jc w:val="center"/>
            </w:pPr>
            <w:r>
              <w:drawing>
                <wp:inline>
                  <wp:extent cx="4633047" cy="3810000"/>
                  <wp:effectExtent b="0" l="0" r="0" t="0"/>
                  <wp:docPr descr="" title="" id="203" name="Picture"/>
                  <a:graphic>
                    <a:graphicData uri="http://schemas.openxmlformats.org/drawingml/2006/picture">
                      <pic:pic>
                        <pic:nvPicPr>
                          <pic:cNvPr descr="pics/C4/causal%20mental%20model.png" id="204" name="Picture"/>
                          <pic:cNvPicPr>
                            <a:picLocks noChangeArrowheads="1" noChangeAspect="1"/>
                          </pic:cNvPicPr>
                        </pic:nvPicPr>
                        <pic:blipFill>
                          <a:blip r:embed="rId202"/>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205"/>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37"/>
        </w:numPr>
      </w:pPr>
      <w:r>
        <w:t xml:space="preserve">Quality of customer support is negatively associated with customer churn (because better customer support quality makes customers happy, and they are less likely to leave).</w:t>
      </w:r>
    </w:p>
    <w:p>
      <w:pPr>
        <w:numPr>
          <w:ilvl w:val="0"/>
          <w:numId w:val="1037"/>
        </w:numPr>
      </w:pPr>
      <w:r>
        <w:t xml:space="preserve">Product quality is negatively associated with customer churn (because higher product quality makes customers happy, and they are less likely to leave).</w:t>
      </w:r>
    </w:p>
    <w:p>
      <w:pPr>
        <w:numPr>
          <w:ilvl w:val="0"/>
          <w:numId w:val="1037"/>
        </w:numPr>
      </w:pPr>
      <w:r>
        <w:t xml:space="preserve">Competitor offerings are positively associated with customer churn (because interesting offers from competitors might trigger our customers to switch to our competitors).</w:t>
      </w:r>
    </w:p>
    <w:p>
      <w:pPr>
        <w:numPr>
          <w:ilvl w:val="0"/>
          <w:numId w:val="1037"/>
        </w:numPr>
      </w:pPr>
      <w:r>
        <w:t xml:space="preserve">Price is positively associated with customer churn (because customers do not like to pay more, and they are more likely to leave).</w:t>
      </w:r>
    </w:p>
    <w:p>
      <w:pPr>
        <w:numPr>
          <w:ilvl w:val="0"/>
          <w:numId w:val="1037"/>
        </w:numPr>
      </w:pPr>
      <w:r>
        <w:t xml:space="preserve">Product quality is positively associated with price (because higher quality is usually costly, sales prices need to be higher as well).</w:t>
      </w:r>
    </w:p>
    <w:p>
      <w:pPr>
        <w:numPr>
          <w:ilvl w:val="0"/>
          <w:numId w:val="1037"/>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209" w:name="fig-MM2"/>
          <w:p>
            <w:pPr>
              <w:pStyle w:val="Compact"/>
              <w:jc w:val="center"/>
            </w:pPr>
            <w:r>
              <w:drawing>
                <wp:inline>
                  <wp:extent cx="5325340" cy="3333750"/>
                  <wp:effectExtent b="0" l="0" r="0" t="0"/>
                  <wp:docPr descr="" title="" id="207" name="Picture"/>
                  <a:graphic>
                    <a:graphicData uri="http://schemas.openxmlformats.org/drawingml/2006/picture">
                      <pic:pic>
                        <pic:nvPicPr>
                          <pic:cNvPr descr="pics/C4/mental%20model.png" id="208" name="Picture"/>
                          <pic:cNvPicPr>
                            <a:picLocks noChangeArrowheads="1" noChangeAspect="1"/>
                          </pic:cNvPicPr>
                        </pic:nvPicPr>
                        <pic:blipFill>
                          <a:blip r:embed="rId206"/>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209"/>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210"/>
    <w:bookmarkStart w:id="219"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simply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14" w:name="fig-rand1"/>
          <w:p>
            <w:pPr>
              <w:pStyle w:val="Compact"/>
              <w:jc w:val="center"/>
            </w:pPr>
            <w:r>
              <w:drawing>
                <wp:inline>
                  <wp:extent cx="4572000" cy="4572000"/>
                  <wp:effectExtent b="0" l="0" r="0" t="0"/>
                  <wp:docPr descr="" title="" id="212" name="Picture"/>
                  <a:graphic>
                    <a:graphicData uri="http://schemas.openxmlformats.org/drawingml/2006/picture">
                      <pic:pic>
                        <pic:nvPicPr>
                          <pic:cNvPr descr="diagnostics_files/figure-docx/fig-rand1-1.gif" id="213" name="Picture"/>
                          <pic:cNvPicPr>
                            <a:picLocks noChangeArrowheads="1" noChangeAspect="1"/>
                          </pic:cNvPicPr>
                        </pic:nvPicPr>
                        <pic:blipFill>
                          <a:blip r:embed="rId211"/>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14"/>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18" w:name="fig-rand2"/>
          <w:p>
            <w:pPr>
              <w:pStyle w:val="Compact"/>
              <w:jc w:val="center"/>
            </w:pPr>
            <w:r>
              <w:drawing>
                <wp:inline>
                  <wp:extent cx="4572000" cy="4572000"/>
                  <wp:effectExtent b="0" l="0" r="0" t="0"/>
                  <wp:docPr descr="" title="" id="216" name="Picture"/>
                  <a:graphic>
                    <a:graphicData uri="http://schemas.openxmlformats.org/drawingml/2006/picture">
                      <pic:pic>
                        <pic:nvPicPr>
                          <pic:cNvPr descr="diagnostics_files/figure-docx/fig-rand2-1.gif" id="217" name="Picture"/>
                          <pic:cNvPicPr>
                            <a:picLocks noChangeArrowheads="1" noChangeAspect="1"/>
                          </pic:cNvPicPr>
                        </pic:nvPicPr>
                        <pic:blipFill>
                          <a:blip r:embed="rId215"/>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18"/>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19"/>
    <w:bookmarkStart w:id="224"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3" w:name="fig-rand3"/>
          <w:p>
            <w:pPr>
              <w:pStyle w:val="Compact"/>
              <w:jc w:val="center"/>
            </w:pPr>
            <w:r>
              <w:drawing>
                <wp:inline>
                  <wp:extent cx="5334000" cy="3048000"/>
                  <wp:effectExtent b="0" l="0" r="0" t="0"/>
                  <wp:docPr descr="" title="" id="221" name="Picture"/>
                  <a:graphic>
                    <a:graphicData uri="http://schemas.openxmlformats.org/drawingml/2006/picture">
                      <pic:pic>
                        <pic:nvPicPr>
                          <pic:cNvPr descr="diagnostics_files/figure-docx/fig-rand3-1.png" id="222" name="Picture"/>
                          <pic:cNvPicPr>
                            <a:picLocks noChangeArrowheads="1" noChangeAspect="1"/>
                          </pic:cNvPicPr>
                        </pic:nvPicPr>
                        <pic:blipFill>
                          <a:blip r:embed="rId22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23"/>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if the true population parameter would be 0.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38"/>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38"/>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38"/>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38"/>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38"/>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24"/>
    <w:bookmarkStart w:id="248"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many important concepts that generalize to all other analysis settings. To do so we start with the difference between correlation coefficients and coefficients in a regression model.</w:t>
      </w:r>
    </w:p>
    <w:bookmarkStart w:id="228"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25"/>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39"/>
        </w:numPr>
      </w:pPr>
      <w:r>
        <w:t xml:space="preserve">H</w:t>
      </w:r>
      <m:oMath>
        <m:sSub>
          <m:e>
            <m:r>
              <m:t>​</m:t>
            </m:r>
          </m:e>
          <m:sub>
            <m:r>
              <m:t>0</m:t>
            </m:r>
          </m:sub>
        </m:sSub>
      </m:oMath>
      <w:r>
        <w:t xml:space="preserve">: There is no significant association between employee tenure and profit</w:t>
      </w:r>
    </w:p>
    <w:p>
      <w:pPr>
        <w:numPr>
          <w:ilvl w:val="0"/>
          <w:numId w:val="1039"/>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26"/>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27">
        <w:r>
          <w:rPr>
            <w:rStyle w:val="Hyperlink"/>
          </w:rPr>
          <w:t xml:space="preserve">wikipedia graph</w:t>
        </w:r>
      </w:hyperlink>
      <w:r>
        <w:t xml:space="preserve">). If we are interested in that, we need to think about a regression model.</w:t>
      </w:r>
    </w:p>
    <w:bookmarkEnd w:id="228"/>
    <w:bookmarkStart w:id="237"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only the direction of the relationship between the independent variable and the dependent variable, but also its magnitude in unit-changes. For example, a positive coefficient indicates a positive relationship, whereas a negative coefficient suggests a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32" w:name="fig-emp1"/>
          <w:p>
            <w:pPr>
              <w:pStyle w:val="Compact"/>
              <w:jc w:val="center"/>
            </w:pPr>
            <w:r>
              <w:drawing>
                <wp:inline>
                  <wp:extent cx="5334000" cy="3048000"/>
                  <wp:effectExtent b="0" l="0" r="0" t="0"/>
                  <wp:docPr descr="" title="" id="230" name="Picture"/>
                  <a:graphic>
                    <a:graphicData uri="http://schemas.openxmlformats.org/drawingml/2006/picture">
                      <pic:pic>
                        <pic:nvPicPr>
                          <pic:cNvPr descr="diagnostics_files/figure-docx/fig-emp1-1.png" id="231" name="Picture"/>
                          <pic:cNvPicPr>
                            <a:picLocks noChangeArrowheads="1" noChangeAspect="1"/>
                          </pic:cNvPicPr>
                        </pic:nvPicPr>
                        <pic:blipFill>
                          <a:blip r:embed="rId22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32"/>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36" w:name="fig-excelreg"/>
          <w:p>
            <w:pPr>
              <w:pStyle w:val="Compact"/>
              <w:jc w:val="center"/>
            </w:pPr>
            <w:r>
              <w:drawing>
                <wp:inline>
                  <wp:extent cx="5334000" cy="1798320"/>
                  <wp:effectExtent b="0" l="0" r="0" t="0"/>
                  <wp:docPr descr="" title="" id="234" name="Picture"/>
                  <a:graphic>
                    <a:graphicData uri="http://schemas.openxmlformats.org/drawingml/2006/picture">
                      <pic:pic>
                        <pic:nvPicPr>
                          <pic:cNvPr descr="pics/C4/simple_reg.png" id="235" name="Picture"/>
                          <pic:cNvPicPr>
                            <a:picLocks noChangeArrowheads="1" noChangeAspect="1"/>
                          </pic:cNvPicPr>
                        </pic:nvPicPr>
                        <pic:blipFill>
                          <a:blip r:embed="rId233"/>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36"/>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1,301.74.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1,301.74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37"/>
    <w:bookmarkStart w:id="244"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40"/>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40"/>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38"/>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42" w:name="fig-dag-rs"/>
          <w:p>
            <w:pPr>
              <w:pStyle w:val="Compact"/>
              <w:jc w:val="center"/>
            </w:pPr>
            <w:r>
              <w:drawing>
                <wp:inline>
                  <wp:extent cx="5334000" cy="3111500"/>
                  <wp:effectExtent b="0" l="0" r="0" t="0"/>
                  <wp:docPr descr="" title="" id="240" name="Picture"/>
                  <a:graphic>
                    <a:graphicData uri="http://schemas.openxmlformats.org/drawingml/2006/picture">
                      <pic:pic>
                        <pic:nvPicPr>
                          <pic:cNvPr descr="diagnostics_files/figure-docx/fig-dag-rs-1.png" id="241" name="Picture"/>
                          <pic:cNvPicPr>
                            <a:picLocks noChangeArrowheads="1" noChangeAspect="1"/>
                          </pic:cNvPicPr>
                        </pic:nvPicPr>
                        <pic:blipFill>
                          <a:blip r:embed="rId239"/>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42"/>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43"/>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44"/>
    <w:bookmarkStart w:id="245"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41"/>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41"/>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41"/>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41"/>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41"/>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45"/>
    <w:bookmarkStart w:id="247"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46"/>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makes it very difficult to judge whether a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47"/>
    <w:bookmarkEnd w:id="248"/>
    <w:bookmarkStart w:id="250"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49"/>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50"/>
    <w:bookmarkStart w:id="259"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54" w:name="fig-logreg"/>
          <w:p>
            <w:pPr>
              <w:pStyle w:val="Compact"/>
              <w:jc w:val="center"/>
            </w:pPr>
            <w:r>
              <w:drawing>
                <wp:inline>
                  <wp:extent cx="5334000" cy="3111500"/>
                  <wp:effectExtent b="0" l="0" r="0" t="0"/>
                  <wp:docPr descr="" title="" id="252" name="Picture"/>
                  <a:graphic>
                    <a:graphicData uri="http://schemas.openxmlformats.org/drawingml/2006/picture">
                      <pic:pic>
                        <pic:nvPicPr>
                          <pic:cNvPr descr="diagnostics_files/figure-docx/fig-logreg-1.png" id="253" name="Picture"/>
                          <pic:cNvPicPr>
                            <a:picLocks noChangeArrowheads="1" noChangeAspect="1"/>
                          </pic:cNvPicPr>
                        </pic:nvPicPr>
                        <pic:blipFill>
                          <a:blip r:embed="rId251"/>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squashing the linear model into the 0-1 range</w:t>
            </w:r>
          </w:p>
          <w:bookmarkEnd w:id="254"/>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58" w:name="fig-logreg2"/>
          <w:p>
            <w:pPr>
              <w:pStyle w:val="Compact"/>
              <w:jc w:val="center"/>
            </w:pPr>
            <w:r>
              <w:drawing>
                <wp:inline>
                  <wp:extent cx="5334000" cy="3111500"/>
                  <wp:effectExtent b="0" l="0" r="0" t="0"/>
                  <wp:docPr descr="" title="" id="256" name="Picture"/>
                  <a:graphic>
                    <a:graphicData uri="http://schemas.openxmlformats.org/drawingml/2006/picture">
                      <pic:pic>
                        <pic:nvPicPr>
                          <pic:cNvPr descr="diagnostics_files/figure-docx/fig-logreg2-1.png" id="257" name="Picture"/>
                          <pic:cNvPicPr>
                            <a:picLocks noChangeArrowheads="1" noChangeAspect="1"/>
                          </pic:cNvPicPr>
                        </pic:nvPicPr>
                        <pic:blipFill>
                          <a:blip r:embed="rId255"/>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58"/>
        </w:tc>
      </w:tr>
    </w:tbl>
    <w:bookmarkEnd w:id="259"/>
    <w:bookmarkStart w:id="260"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60"/>
    <w:bookmarkEnd w:id="261"/>
    <w:bookmarkStart w:id="316" w:name="sec-pred"/>
    <w:p>
      <w:pPr>
        <w:pStyle w:val="Heading1"/>
      </w:pPr>
      <w:r>
        <w:t xml:space="preserve">5. Predictive Analytics</w:t>
      </w:r>
    </w:p>
    <w:bookmarkStart w:id="262" w:name="learning-goals-3"/>
    <w:p>
      <w:pPr>
        <w:pStyle w:val="Heading2"/>
      </w:pPr>
      <w:r>
        <w:t xml:space="preserve">5.1 Learning goals</w:t>
      </w:r>
    </w:p>
    <w:p>
      <w:pPr>
        <w:pStyle w:val="Compact"/>
        <w:numPr>
          <w:ilvl w:val="0"/>
          <w:numId w:val="1042"/>
        </w:numPr>
      </w:pPr>
      <w:r>
        <w:t xml:space="preserve">Learn how to do principled data-based forecasting for decision making</w:t>
      </w:r>
    </w:p>
    <w:p>
      <w:pPr>
        <w:pStyle w:val="Compact"/>
        <w:numPr>
          <w:ilvl w:val="0"/>
          <w:numId w:val="1042"/>
        </w:numPr>
      </w:pPr>
      <w:r>
        <w:t xml:space="preserve">Evaluate a prediction models quality based on standard metrics and theory</w:t>
      </w:r>
    </w:p>
    <w:bookmarkEnd w:id="262"/>
    <w:bookmarkStart w:id="264"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63"/>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64"/>
    <w:bookmarkStart w:id="265"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65"/>
    <w:bookmarkStart w:id="279" w:name="the-source-of-prediction-errors"/>
    <w:p>
      <w:pPr>
        <w:pStyle w:val="Heading2"/>
      </w:pPr>
      <w:r>
        <w:t xml:space="preserve">5.4 The source of prediction errors</w:t>
      </w:r>
    </w:p>
    <w:bookmarkStart w:id="276"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69" w:name="fig-overfit"/>
          <w:p>
            <w:pPr>
              <w:pStyle w:val="Compact"/>
              <w:jc w:val="center"/>
            </w:pPr>
            <w:r>
              <w:drawing>
                <wp:inline>
                  <wp:extent cx="5334000" cy="2667000"/>
                  <wp:effectExtent b="0" l="0" r="0" t="0"/>
                  <wp:docPr descr="" title="" id="267" name="Picture"/>
                  <a:graphic>
                    <a:graphicData uri="http://schemas.openxmlformats.org/drawingml/2006/picture">
                      <pic:pic>
                        <pic:nvPicPr>
                          <pic:cNvPr descr="predictions_files/figure-docx/fig-overfit-1.gif" id="268" name="Picture"/>
                          <pic:cNvPicPr>
                            <a:picLocks noChangeArrowheads="1" noChangeAspect="1"/>
                          </pic:cNvPicPr>
                        </pic:nvPicPr>
                        <pic:blipFill>
                          <a:blip r:embed="rId26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69"/>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73" w:name="fig-overfit2"/>
          <w:p>
            <w:pPr>
              <w:pStyle w:val="Compact"/>
              <w:jc w:val="center"/>
            </w:pPr>
            <w:r>
              <w:drawing>
                <wp:inline>
                  <wp:extent cx="5334000" cy="3516312"/>
                  <wp:effectExtent b="0" l="0" r="0" t="0"/>
                  <wp:docPr descr="" title="" id="271" name="Picture"/>
                  <a:graphic>
                    <a:graphicData uri="http://schemas.openxmlformats.org/drawingml/2006/picture">
                      <pic:pic>
                        <pic:nvPicPr>
                          <pic:cNvPr descr="predictions_files/figure-docx/fig-overfit2-1.png" id="272" name="Picture"/>
                          <pic:cNvPicPr>
                            <a:picLocks noChangeArrowheads="1" noChangeAspect="1"/>
                          </pic:cNvPicPr>
                        </pic:nvPicPr>
                        <pic:blipFill>
                          <a:blip r:embed="rId270"/>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73"/>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74"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74"/>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75"/>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76"/>
    <w:bookmarkStart w:id="277"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77"/>
    <w:bookmarkStart w:id="278"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78"/>
    <w:bookmarkEnd w:id="279"/>
    <w:bookmarkStart w:id="291" w:name="assessing-prediction-performance"/>
    <w:p>
      <w:pPr>
        <w:pStyle w:val="Heading2"/>
      </w:pPr>
      <w:r>
        <w:t xml:space="preserve">5.5 Assessing prediction performance</w:t>
      </w:r>
    </w:p>
    <w:bookmarkStart w:id="284"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80">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81">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82">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83">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84"/>
    <w:bookmarkStart w:id="289"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88" w:name="fig-roccurve"/>
          <w:p>
            <w:pPr>
              <w:pStyle w:val="Compact"/>
              <w:jc w:val="center"/>
            </w:pPr>
            <w:r>
              <w:drawing>
                <wp:inline>
                  <wp:extent cx="4876800" cy="4876800"/>
                  <wp:effectExtent b="0" l="0" r="0" t="0"/>
                  <wp:docPr descr="" title="" id="286" name="Picture"/>
                  <a:graphic>
                    <a:graphicData uri="http://schemas.openxmlformats.org/drawingml/2006/picture">
                      <pic:pic>
                        <pic:nvPicPr>
                          <pic:cNvPr descr="predictions_files/figure-docx/fig-roccurve-1.png" id="287" name="Picture"/>
                          <pic:cNvPicPr>
                            <a:picLocks noChangeArrowheads="1" noChangeAspect="1"/>
                          </pic:cNvPicPr>
                        </pic:nvPicPr>
                        <pic:blipFill>
                          <a:blip r:embed="rId285"/>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88"/>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89"/>
    <w:bookmarkStart w:id="290"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90"/>
    <w:bookmarkEnd w:id="291"/>
    <w:bookmarkStart w:id="314" w:name="a-full-prediction-example"/>
    <w:p>
      <w:pPr>
        <w:pStyle w:val="Heading2"/>
      </w:pPr>
      <w:r>
        <w:t xml:space="preserve">5.6 A full prediction example</w:t>
      </w:r>
    </w:p>
    <w:bookmarkStart w:id="296"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5" w:name="fig-repairtime"/>
          <w:p>
            <w:pPr>
              <w:pStyle w:val="Compact"/>
              <w:jc w:val="center"/>
            </w:pPr>
            <w:r>
              <w:drawing>
                <wp:inline>
                  <wp:extent cx="5334000" cy="3556000"/>
                  <wp:effectExtent b="0" l="0" r="0" t="0"/>
                  <wp:docPr descr="" title="" id="293" name="Picture"/>
                  <a:graphic>
                    <a:graphicData uri="http://schemas.openxmlformats.org/drawingml/2006/picture">
                      <pic:pic>
                        <pic:nvPicPr>
                          <pic:cNvPr descr="predictions_files/figure-docx/fig-repairtime-1.png" id="294" name="Picture"/>
                          <pic:cNvPicPr>
                            <a:picLocks noChangeArrowheads="1" noChangeAspect="1"/>
                          </pic:cNvPicPr>
                        </pic:nvPicPr>
                        <pic:blipFill>
                          <a:blip r:embed="rId29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95"/>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96"/>
    <w:bookmarkStart w:id="297"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97"/>
    <w:bookmarkStart w:id="298"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98"/>
    <w:bookmarkStart w:id="303"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302" w:name="fig-fitchecking"/>
          <w:p>
            <w:pPr>
              <w:pStyle w:val="Compact"/>
              <w:jc w:val="center"/>
            </w:pPr>
            <w:r>
              <w:drawing>
                <wp:inline>
                  <wp:extent cx="5334000" cy="5334000"/>
                  <wp:effectExtent b="0" l="0" r="0" t="0"/>
                  <wp:docPr descr="" title="" id="300" name="Picture"/>
                  <a:graphic>
                    <a:graphicData uri="http://schemas.openxmlformats.org/drawingml/2006/picture">
                      <pic:pic>
                        <pic:nvPicPr>
                          <pic:cNvPr descr="predictions_files/figure-docx/fig-fitchecking-1.png" id="301" name="Picture"/>
                          <pic:cNvPicPr>
                            <a:picLocks noChangeArrowheads="1" noChangeAspect="1"/>
                          </pic:cNvPicPr>
                        </pic:nvPicPr>
                        <pic:blipFill>
                          <a:blip r:embed="rId29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302"/>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303"/>
    <w:bookmarkStart w:id="308"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307" w:name="fig-fitchecking2"/>
          <w:p>
            <w:pPr>
              <w:pStyle w:val="Compact"/>
              <w:jc w:val="center"/>
            </w:pPr>
            <w:r>
              <w:drawing>
                <wp:inline>
                  <wp:extent cx="5334000" cy="5334000"/>
                  <wp:effectExtent b="0" l="0" r="0" t="0"/>
                  <wp:docPr descr="" title="" id="305" name="Picture"/>
                  <a:graphic>
                    <a:graphicData uri="http://schemas.openxmlformats.org/drawingml/2006/picture">
                      <pic:pic>
                        <pic:nvPicPr>
                          <pic:cNvPr descr="predictions_files/figure-docx/fig-fitchecking2-1.png" id="306" name="Picture"/>
                          <pic:cNvPicPr>
                            <a:picLocks noChangeArrowheads="1" noChangeAspect="1"/>
                          </pic:cNvPicPr>
                        </pic:nvPicPr>
                        <pic:blipFill>
                          <a:blip r:embed="rId30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307"/>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308"/>
    <w:bookmarkStart w:id="313"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2" w:name="fig-sumerr"/>
          <w:p>
            <w:pPr>
              <w:pStyle w:val="Compact"/>
              <w:jc w:val="center"/>
            </w:pPr>
            <w:r>
              <w:drawing>
                <wp:inline>
                  <wp:extent cx="5334000" cy="3556000"/>
                  <wp:effectExtent b="0" l="0" r="0" t="0"/>
                  <wp:docPr descr="" title="" id="310" name="Picture"/>
                  <a:graphic>
                    <a:graphicData uri="http://schemas.openxmlformats.org/drawingml/2006/picture">
                      <pic:pic>
                        <pic:nvPicPr>
                          <pic:cNvPr descr="predictions_files/figure-docx/fig-sumerr-1.png" id="311" name="Picture"/>
                          <pic:cNvPicPr>
                            <a:picLocks noChangeArrowheads="1" noChangeAspect="1"/>
                          </pic:cNvPicPr>
                        </pic:nvPicPr>
                        <pic:blipFill>
                          <a:blip r:embed="rId30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12"/>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13"/>
    <w:bookmarkEnd w:id="314"/>
    <w:bookmarkStart w:id="315"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15"/>
    <w:bookmarkEnd w:id="316"/>
    <w:bookmarkStart w:id="355" w:name="sec-reporting"/>
    <w:p>
      <w:pPr>
        <w:pStyle w:val="Heading1"/>
      </w:pPr>
      <w:r>
        <w:t xml:space="preserve">6. Reporting Design</w:t>
      </w:r>
    </w:p>
    <w:bookmarkStart w:id="317" w:name="learning-goals-4"/>
    <w:p>
      <w:pPr>
        <w:pStyle w:val="Heading2"/>
      </w:pPr>
      <w:r>
        <w:t xml:space="preserve">6.1 Learning goals</w:t>
      </w:r>
    </w:p>
    <w:p>
      <w:pPr>
        <w:pStyle w:val="Compact"/>
        <w:numPr>
          <w:ilvl w:val="0"/>
          <w:numId w:val="1043"/>
        </w:numPr>
      </w:pPr>
      <w:r>
        <w:t xml:space="preserve">Understand the importance of dashboards for reporting user-oriented results</w:t>
      </w:r>
    </w:p>
    <w:p>
      <w:pPr>
        <w:pStyle w:val="Compact"/>
        <w:numPr>
          <w:ilvl w:val="0"/>
          <w:numId w:val="1043"/>
        </w:numPr>
      </w:pPr>
      <w:r>
        <w:t xml:space="preserve">Apply dashboard design principles</w:t>
      </w:r>
    </w:p>
    <w:p>
      <w:pPr>
        <w:pStyle w:val="Compact"/>
        <w:numPr>
          <w:ilvl w:val="0"/>
          <w:numId w:val="1043"/>
        </w:numPr>
      </w:pPr>
      <w:r>
        <w:t xml:space="preserve">Evaluate the design of existing dashboards</w:t>
      </w:r>
    </w:p>
    <w:bookmarkEnd w:id="317"/>
    <w:bookmarkStart w:id="320"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18" name="Picture"/>
            <a:graphic>
              <a:graphicData uri="http://schemas.openxmlformats.org/drawingml/2006/picture">
                <pic:pic>
                  <pic:nvPicPr>
                    <pic:cNvPr descr="pics/C2/2questions.png" id="319"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20"/>
    <w:bookmarkStart w:id="324"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22" name="Picture"/>
            <a:graphic>
              <a:graphicData uri="http://schemas.openxmlformats.org/drawingml/2006/picture">
                <pic:pic>
                  <pic:nvPicPr>
                    <pic:cNvPr descr="pics/C5/dashboard.png" id="323" name="Picture"/>
                    <pic:cNvPicPr>
                      <a:picLocks noChangeArrowheads="1" noChangeAspect="1"/>
                    </pic:cNvPicPr>
                  </pic:nvPicPr>
                  <pic:blipFill>
                    <a:blip r:embed="rId321"/>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24"/>
    <w:bookmarkStart w:id="351" w:name="principles-of-effective-dashboard-design"/>
    <w:p>
      <w:pPr>
        <w:pStyle w:val="Heading2"/>
      </w:pPr>
      <w:r>
        <w:t xml:space="preserve">6.4 Principles of effective dashboard design</w:t>
      </w:r>
    </w:p>
    <w:bookmarkStart w:id="325"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25"/>
    <w:bookmarkStart w:id="326"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26"/>
    <w:bookmarkStart w:id="327"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27"/>
    <w:bookmarkStart w:id="328"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28"/>
    <w:bookmarkStart w:id="332"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30" name="Picture"/>
            <a:graphic>
              <a:graphicData uri="http://schemas.openxmlformats.org/drawingml/2006/picture">
                <pic:pic>
                  <pic:nvPicPr>
                    <pic:cNvPr descr="pics/C5/charts.png" id="331" name="Picture"/>
                    <pic:cNvPicPr>
                      <a:picLocks noChangeArrowheads="1" noChangeAspect="1"/>
                    </pic:cNvPicPr>
                  </pic:nvPicPr>
                  <pic:blipFill>
                    <a:blip r:embed="rId329"/>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32"/>
    <w:bookmarkStart w:id="347"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33"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33"/>
    <w:bookmarkStart w:id="340"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35" name="Picture"/>
            <a:graphic>
              <a:graphicData uri="http://schemas.openxmlformats.org/drawingml/2006/picture">
                <pic:pic>
                  <pic:nvPicPr>
                    <pic:cNvPr descr="pics/C5/fpattern.png" id="336" name="Picture"/>
                    <pic:cNvPicPr>
                      <a:picLocks noChangeArrowheads="1" noChangeAspect="1"/>
                    </pic:cNvPicPr>
                  </pic:nvPicPr>
                  <pic:blipFill>
                    <a:blip r:embed="rId334"/>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38" name="Picture"/>
            <a:graphic>
              <a:graphicData uri="http://schemas.openxmlformats.org/drawingml/2006/picture">
                <pic:pic>
                  <pic:nvPicPr>
                    <pic:cNvPr descr="pics/C5/zpattern.png" id="339" name="Picture"/>
                    <pic:cNvPicPr>
                      <a:picLocks noChangeArrowheads="1" noChangeAspect="1"/>
                    </pic:cNvPicPr>
                  </pic:nvPicPr>
                  <pic:blipFill>
                    <a:blip r:embed="rId33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40"/>
    <w:bookmarkStart w:id="341"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41"/>
    <w:bookmarkStart w:id="342"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42"/>
    <w:bookmarkStart w:id="346"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44" name="Picture"/>
            <a:graphic>
              <a:graphicData uri="http://schemas.openxmlformats.org/drawingml/2006/picture">
                <pic:pic>
                  <pic:nvPicPr>
                    <pic:cNvPr descr="pics/C5/dashboard2.png" id="345" name="Picture"/>
                    <pic:cNvPicPr>
                      <a:picLocks noChangeArrowheads="1" noChangeAspect="1"/>
                    </pic:cNvPicPr>
                  </pic:nvPicPr>
                  <pic:blipFill>
                    <a:blip r:embed="rId343"/>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44"/>
        </w:numPr>
      </w:pPr>
      <w:r>
        <w:t xml:space="preserve">In terms of positioning, it appears that we need to follow a column order, making us read top-down several times…irritating.</w:t>
      </w:r>
    </w:p>
    <w:p>
      <w:pPr>
        <w:pStyle w:val="Compact"/>
        <w:numPr>
          <w:ilvl w:val="0"/>
          <w:numId w:val="1044"/>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44"/>
        </w:numPr>
      </w:pPr>
      <w:r>
        <w:t xml:space="preserve">Apart from that, the chart on the left bottom does not seem to add any information value which makes is unnecessary in this dashboard.</w:t>
      </w:r>
    </w:p>
    <w:p>
      <w:pPr>
        <w:pStyle w:val="Compact"/>
        <w:numPr>
          <w:ilvl w:val="0"/>
          <w:numId w:val="1044"/>
        </w:numPr>
      </w:pPr>
      <w:r>
        <w:t xml:space="preserve">In addition, there is no clear visual hierarchy. But it may be that all items are equally important?</w:t>
      </w:r>
    </w:p>
    <w:p>
      <w:pPr>
        <w:pStyle w:val="Compact"/>
        <w:numPr>
          <w:ilvl w:val="0"/>
          <w:numId w:val="1044"/>
        </w:numPr>
      </w:pPr>
      <w:r>
        <w:t xml:space="preserve">Speaking about color, the dashboard uses many highly saturated colors, again making it difficult to focus.</w:t>
      </w:r>
    </w:p>
    <w:p>
      <w:pPr>
        <w:pStyle w:val="Compact"/>
        <w:numPr>
          <w:ilvl w:val="0"/>
          <w:numId w:val="1044"/>
        </w:numPr>
      </w:pPr>
      <w:r>
        <w:t xml:space="preserve">We are missing some benchmarks: e.g., is 96,5% on time delivery good or bad?</w:t>
      </w:r>
    </w:p>
    <w:p>
      <w:pPr>
        <w:pStyle w:val="Compact"/>
        <w:numPr>
          <w:ilvl w:val="0"/>
          <w:numId w:val="1044"/>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46"/>
    <w:bookmarkEnd w:id="347"/>
    <w:bookmarkStart w:id="348"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48"/>
    <w:bookmarkStart w:id="349"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49"/>
    <w:bookmarkStart w:id="350"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50"/>
    <w:bookmarkEnd w:id="351"/>
    <w:bookmarkStart w:id="354"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52"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52"/>
    <w:bookmarkStart w:id="353"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53"/>
    <w:bookmarkEnd w:id="354"/>
    <w:bookmarkEnd w:id="355"/>
    <w:bookmarkStart w:id="369" w:name="references"/>
    <w:p>
      <w:pPr>
        <w:pStyle w:val="Heading1"/>
      </w:pPr>
      <w:r>
        <w:t xml:space="preserve">References</w:t>
      </w:r>
    </w:p>
    <w:bookmarkStart w:id="368" w:name="refs"/>
    <w:bookmarkStart w:id="356"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356"/>
    <w:bookmarkStart w:id="357"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357"/>
    <w:bookmarkStart w:id="358"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358"/>
    <w:bookmarkStart w:id="360"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359">
        <w:r>
          <w:rPr>
            <w:rStyle w:val="Hyperlink"/>
          </w:rPr>
          <w:t xml:space="preserve">https://www.nature.com/articles/nature07634</w:t>
        </w:r>
      </w:hyperlink>
      <w:r>
        <w:t xml:space="preserve">.</w:t>
      </w:r>
    </w:p>
    <w:bookmarkEnd w:id="360"/>
    <w:bookmarkStart w:id="362"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361">
        <w:r>
          <w:rPr>
            <w:rStyle w:val="Hyperlink"/>
          </w:rPr>
          <w:t xml:space="preserve">https://www.science.org/doi/full/10.1126/science.1248506</w:t>
        </w:r>
      </w:hyperlink>
      <w:r>
        <w:t xml:space="preserve">.</w:t>
      </w:r>
    </w:p>
    <w:bookmarkEnd w:id="362"/>
    <w:bookmarkStart w:id="363"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363"/>
    <w:bookmarkStart w:id="364"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364"/>
    <w:bookmarkStart w:id="365"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365"/>
    <w:bookmarkStart w:id="366"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366"/>
    <w:bookmarkStart w:id="367"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367"/>
    <w:bookmarkEnd w:id="368"/>
    <w:bookmarkEnd w:id="3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66">
    <w:p>
      <w:pPr>
        <w:pStyle w:val="FootnoteText"/>
      </w:pPr>
      <w:r>
        <w:rPr>
          <w:rStyle w:val="FootnoteReference"/>
        </w:rPr>
        <w:footnoteRef/>
      </w:r>
      <w:r>
        <w:t xml:space="preserve"> </w:t>
      </w:r>
      <w:r>
        <w:t xml:space="preserve">You can see that density × wealth is explaining more variation simply by noting that once you categorize sites by both density and wealth, the average revenues differ quite substantially across those sub‐groups, and within‐group variation (the standard deviation) tends to shrink compared to when you only categorize by size or density. In other words, when you look at Table 2.7, the range of means from the lowest (≈1.4M€) up to 15M€ is very large - indicating that density and wealth together do a better job splitting</w:t>
      </w:r>
      <w:r>
        <w:t xml:space="preserve"> </w:t>
      </w:r>
      <w:r>
        <w:t xml:space="preserve">“high‐revenue”</w:t>
      </w:r>
      <w:r>
        <w:t xml:space="preserve"> </w:t>
      </w:r>
      <w:r>
        <w:t xml:space="preserve">sites from</w:t>
      </w:r>
      <w:r>
        <w:t xml:space="preserve"> </w:t>
      </w:r>
      <w:r>
        <w:t xml:space="preserve">“low‐revenue”</w:t>
      </w:r>
      <w:r>
        <w:t xml:space="preserve"> </w:t>
      </w:r>
      <w:r>
        <w:t xml:space="preserve">ones. Meanwhile, each cell’s own standard deviation is now smaller (or zero, if 𝑁=1) than before, so there is less unexplained variability within each category. This tells you that combining density and wealth explains more of the revenue differences than either one alone.</w:t>
      </w:r>
    </w:p>
  </w:footnote>
  <w:footnote w:id="72">
    <w:p>
      <w:pPr>
        <w:pStyle w:val="FootnoteText"/>
      </w:pPr>
      <w:r>
        <w:rPr>
          <w:rStyle w:val="FootnoteReference"/>
        </w:rPr>
        <w:footnoteRef/>
      </w:r>
      <w:r>
        <w:t xml:space="preserve"> </w:t>
      </w:r>
      <w:r>
        <w:t xml:space="preserve">OLS minimizes the sum of squared errors, which in turn means we care about mean values. Imagine you’re trying to guess a number - say people’s weights - and each time you guess incorrectly, you pay a penalty equal to the square of the difference between your guess and the real weight. If you keep getting penalized in this way, the</w:t>
      </w:r>
      <w:r>
        <w:t xml:space="preserve"> </w:t>
      </w:r>
      <w:r>
        <w:t xml:space="preserve">“best”</w:t>
      </w:r>
      <w:r>
        <w:t xml:space="preserve"> </w:t>
      </w:r>
      <w:r>
        <w:t xml:space="preserve">single guess (the one that on average makes your penalty as small as possible) is the average (mean) weight. In OLS regression, your</w:t>
      </w:r>
      <w:r>
        <w:t xml:space="preserve"> </w:t>
      </w:r>
      <w:r>
        <w:t xml:space="preserve">“single guess”</w:t>
      </w:r>
      <w:r>
        <w:t xml:space="preserve"> </w:t>
      </w:r>
      <w:r>
        <w:t xml:space="preserve">depends on the input features (e.g., store size, density, wealth). The best guess for each set of inputs - under squared-error rules - is the conditional mean of the outcome (e.g. revenues given certain density/wealth), which is precisely what OLS estimates.</w:t>
      </w:r>
    </w:p>
  </w:footnote>
  <w:footnote w:id="79">
    <w:p>
      <w:pPr>
        <w:pStyle w:val="FootnoteText"/>
      </w:pPr>
      <w:r>
        <w:rPr>
          <w:rStyle w:val="FootnoteReference"/>
        </w:rPr>
        <w:footnoteRef/>
      </w:r>
      <w:r>
        <w:t xml:space="preserve"> </w:t>
      </w:r>
      <w:r>
        <w:t xml:space="preserve">Some view causal analysis as distinct, some as a very special case of predictive analysis. See</w:t>
      </w:r>
      <w:r>
        <w:t xml:space="preserve"> </w:t>
      </w:r>
      <w:r>
        <w:t xml:space="preserve">Gelman and Hill (2006)</w:t>
      </w:r>
      <w:r>
        <w:t xml:space="preserve">, chapter 9.</w:t>
      </w:r>
    </w:p>
  </w:footnote>
  <w:footnote w:id="85">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25">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26">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38">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43">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46">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49">
    <w:p>
      <w:pPr>
        <w:pStyle w:val="FootnoteText"/>
      </w:pPr>
      <w:r>
        <w:rPr>
          <w:rStyle w:val="FootnoteReference"/>
        </w:rPr>
        <w:footnoteRef/>
      </w:r>
      <w:r>
        <w:t xml:space="preserve"> </w:t>
      </w:r>
      <w:r>
        <w:t xml:space="preserve">There is also a model F-test, but we ignore that. It is rarely useful for model selection.</w:t>
      </w:r>
    </w:p>
  </w:footnote>
  <w:footnote w:id="263">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75">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svg" /><Relationship Type="http://schemas.openxmlformats.org/officeDocument/2006/relationships/image" Id="rId110" Target="media/rId110.svg" /><Relationship Type="http://schemas.openxmlformats.org/officeDocument/2006/relationships/image" Id="rId114" Target="media/rId114.svg" /><Relationship Type="http://schemas.openxmlformats.org/officeDocument/2006/relationships/image" Id="rId106" Target="media/rId106.svg" /><Relationship Type="http://schemas.openxmlformats.org/officeDocument/2006/relationships/image" Id="rId119" Target="media/rId119.svg" /><Relationship Type="http://schemas.openxmlformats.org/officeDocument/2006/relationships/image" Id="rId132" Target="media/rId132.svg" /><Relationship Type="http://schemas.openxmlformats.org/officeDocument/2006/relationships/image" Id="rId123" Target="media/rId123.sv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11" Target="media/rId211.gif" /><Relationship Type="http://schemas.openxmlformats.org/officeDocument/2006/relationships/image" Id="rId215" Target="media/rId215.gif" /><Relationship Type="http://schemas.openxmlformats.org/officeDocument/2006/relationships/image" Id="rId220" Target="media/rId220.png" /><Relationship Type="http://schemas.openxmlformats.org/officeDocument/2006/relationships/image" Id="rId102" Target="media/rId102.png" /><Relationship Type="http://schemas.openxmlformats.org/officeDocument/2006/relationships/image" Id="rId137" Target="media/rId137.png" /><Relationship Type="http://schemas.openxmlformats.org/officeDocument/2006/relationships/image" Id="rId150" Target="media/rId150.png" /><Relationship Type="http://schemas.openxmlformats.org/officeDocument/2006/relationships/image" Id="rId97" Target="media/rId97.png" /><Relationship Type="http://schemas.openxmlformats.org/officeDocument/2006/relationships/image" Id="rId178" Target="media/rId178.png" /><Relationship Type="http://schemas.openxmlformats.org/officeDocument/2006/relationships/image" Id="rId159" Target="media/rId159.png" /><Relationship Type="http://schemas.openxmlformats.org/officeDocument/2006/relationships/image" Id="rId155" Target="media/rId155.png" /><Relationship Type="http://schemas.openxmlformats.org/officeDocument/2006/relationships/image" Id="rId171" Target="media/rId171.png" /><Relationship Type="http://schemas.openxmlformats.org/officeDocument/2006/relationships/image" Id="rId146" Target="media/rId146.png" /><Relationship Type="http://schemas.openxmlformats.org/officeDocument/2006/relationships/image" Id="rId185" Target="media/rId185.png" /><Relationship Type="http://schemas.openxmlformats.org/officeDocument/2006/relationships/image" Id="rId141" Target="media/rId141.png" /><Relationship Type="http://schemas.openxmlformats.org/officeDocument/2006/relationships/image" Id="rId167" Target="media/rId167.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33" Target="media/rId233.png" /><Relationship Type="http://schemas.openxmlformats.org/officeDocument/2006/relationships/image" Id="rId329" Target="media/rId329.png" /><Relationship Type="http://schemas.openxmlformats.org/officeDocument/2006/relationships/image" Id="rId321" Target="media/rId321.png" /><Relationship Type="http://schemas.openxmlformats.org/officeDocument/2006/relationships/image" Id="rId343" Target="media/rId343.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2" Target="media/rId82.jpg" /><Relationship Type="http://schemas.openxmlformats.org/officeDocument/2006/relationships/image" Id="rId42" Target="media/rId42.svg" /><Relationship Type="http://schemas.openxmlformats.org/officeDocument/2006/relationships/image" Id="rId299" Target="media/rId299.png" /><Relationship Type="http://schemas.openxmlformats.org/officeDocument/2006/relationships/image" Id="rId304" Target="media/rId304.png" /><Relationship Type="http://schemas.openxmlformats.org/officeDocument/2006/relationships/image" Id="rId266" Target="media/rId266.gif" /><Relationship Type="http://schemas.openxmlformats.org/officeDocument/2006/relationships/image" Id="rId270" Target="media/rId270.png" /><Relationship Type="http://schemas.openxmlformats.org/officeDocument/2006/relationships/image" Id="rId292" Target="media/rId292.png" /><Relationship Type="http://schemas.openxmlformats.org/officeDocument/2006/relationships/image" Id="rId285" Target="media/rId285.png" /><Relationship Type="http://schemas.openxmlformats.org/officeDocument/2006/relationships/image" Id="rId309" Target="media/rId309.png" /><Relationship Type="http://schemas.openxmlformats.org/officeDocument/2006/relationships/hyperlink" Id="rId280" Target="https://en.wikipedia.org/wiki/Akaike_information_criterion" TargetMode="External" /><Relationship Type="http://schemas.openxmlformats.org/officeDocument/2006/relationships/hyperlink" Id="rId227" Target="https://en.wikipedia.org/wiki/Pearson_correlation_coefficient#/media/File:Correlation_examples2.svg" TargetMode="External" /><Relationship Type="http://schemas.openxmlformats.org/officeDocument/2006/relationships/hyperlink" Id="rId283" Target="https://github.com/IBM/employee-attrition-aif360" TargetMode="External" /><Relationship Type="http://schemas.openxmlformats.org/officeDocument/2006/relationships/hyperlink" Id="rId359" Target="https://www.nature.com/articles/nature07634" TargetMode="External" /><Relationship Type="http://schemas.openxmlformats.org/officeDocument/2006/relationships/hyperlink" Id="rId361" Target="https://www.science.org/doi/full/10.1126/science.1248506" TargetMode="External" /><Relationship Type="http://schemas.openxmlformats.org/officeDocument/2006/relationships/hyperlink" Id="rId281" Target="https://www.tidymodels.org/" TargetMode="External" /><Relationship Type="http://schemas.openxmlformats.org/officeDocument/2006/relationships/hyperlink" Id="rId282" Target="https://www.tmwr.org/" TargetMode="External" /></Relationships>
</file>

<file path=word/_rels/footnotes.xml.rels><?xml version="1.0" encoding="UTF-8"?><Relationships xmlns="http://schemas.openxmlformats.org/package/2006/relationships"><Relationship Type="http://schemas.openxmlformats.org/officeDocument/2006/relationships/hyperlink" Id="rId280" Target="https://en.wikipedia.org/wiki/Akaike_information_criterion" TargetMode="External" /><Relationship Type="http://schemas.openxmlformats.org/officeDocument/2006/relationships/hyperlink" Id="rId227" Target="https://en.wikipedia.org/wiki/Pearson_correlation_coefficient#/media/File:Correlation_examples2.svg" TargetMode="External" /><Relationship Type="http://schemas.openxmlformats.org/officeDocument/2006/relationships/hyperlink" Id="rId283" Target="https://github.com/IBM/employee-attrition-aif360" TargetMode="External" /><Relationship Type="http://schemas.openxmlformats.org/officeDocument/2006/relationships/hyperlink" Id="rId359" Target="https://www.nature.com/articles/nature07634" TargetMode="External" /><Relationship Type="http://schemas.openxmlformats.org/officeDocument/2006/relationships/hyperlink" Id="rId361" Target="https://www.science.org/doi/full/10.1126/science.1248506" TargetMode="External" /><Relationship Type="http://schemas.openxmlformats.org/officeDocument/2006/relationships/hyperlink" Id="rId281" Target="https://www.tidymodels.org/" TargetMode="External" /><Relationship Type="http://schemas.openxmlformats.org/officeDocument/2006/relationships/hyperlink" Id="rId282" Target="https://www.tmw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2025-04-23T08:57:39Z</dcterms:created>
  <dcterms:modified xsi:type="dcterms:W3CDTF">2025-04-23T08:57:39Z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2025-04-23</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